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ОБЩЕСТВО С ОГРАНИЧЕННОЙ ОТВЕТСТВЕННОСТЬЮ</w:t>
      </w:r>
      <w:r>
        <w:br/>
      </w:r>
      <w:r>
        <w:t xml:space="preserve">«КАРЕЛЬСКИЕ БИОТЕХНОЛОГИИ»</w:t>
      </w:r>
      <w:r>
        <w:br/>
      </w:r>
      <w:r>
        <w:t xml:space="preserve">ООО «Карелбиотех»</w:t>
      </w:r>
    </w:p>
    <w:bookmarkStart w:id="22" w:name="кормовой-белковый-продукт-герметиявит"/>
    <w:p>
      <w:pPr>
        <w:pStyle w:val="Heading1"/>
      </w:pPr>
      <w:r>
        <w:t xml:space="preserve">КОРМОВОЙ БЕЛКОВЫЙ ПРОДУКТ «ГЕРМЕТИЯВИТ»</w:t>
      </w:r>
    </w:p>
    <w:bookmarkStart w:id="20" w:name="технические-условия"/>
    <w:p>
      <w:pPr>
        <w:pStyle w:val="Heading2"/>
      </w:pPr>
      <w:r>
        <w:t xml:space="preserve">Технические условия</w:t>
      </w:r>
    </w:p>
    <w:bookmarkEnd w:id="20"/>
    <w:bookmarkStart w:id="21" w:name="публичная-редакция"/>
    <w:p>
      <w:pPr>
        <w:pStyle w:val="Heading2"/>
      </w:pPr>
      <w:r>
        <w:t xml:space="preserve">Публичная редакция</w:t>
      </w:r>
    </w:p>
    <w:p>
      <w:pPr>
        <w:pStyle w:val="FirstParagraph"/>
      </w:pPr>
      <w:r>
        <w:t xml:space="preserve">ТУ 10.91.10-001-47033053-2026</w:t>
      </w:r>
    </w:p>
    <w:p>
      <w:pPr>
        <w:pStyle w:val="BodyText"/>
      </w:pPr>
      <w:r>
        <w:t xml:space="preserve">Вводятся впервые</w:t>
      </w:r>
      <w:r>
        <w:br/>
      </w:r>
      <w:r>
        <w:t xml:space="preserve">Дата введения: «12» июня 2026 г.</w:t>
      </w:r>
    </w:p>
    <w:p>
      <w:pPr>
        <w:pStyle w:val="BodyText"/>
      </w:pPr>
      <w:r>
        <w:t xml:space="preserve">Петрозаводск</w:t>
      </w:r>
      <w:r>
        <w:br/>
      </w:r>
      <w:r>
        <w:t xml:space="preserve">2026</w:t>
      </w:r>
    </w:p>
    <w:p>
      <w:r>
        <w:pict>
          <v:rect style="width:0;height:1.5pt" o:hralign="center" o:hrstd="t" o:hr="t"/>
        </w:pict>
      </w:r>
    </w:p>
    <w:bookmarkEnd w:id="21"/>
    <w:bookmarkEnd w:id="22"/>
    <w:bookmarkStart w:id="23" w:name="предисловие-к-публичной-редакции"/>
    <w:p>
      <w:pPr>
        <w:pStyle w:val="Heading1"/>
      </w:pPr>
      <w:r>
        <w:t xml:space="preserve">Предисловие к публичной редакции</w:t>
      </w:r>
    </w:p>
    <w:p>
      <w:pPr>
        <w:pStyle w:val="FirstParagraph"/>
      </w:pPr>
      <w:r>
        <w:t xml:space="preserve">Настоящая публичная редакция технических условий подготовлена для предоставления покупателям, партнёрам, комбикормовым предприятиям, органам по подтверждению соответствия и иным заинтересованным лицам.</w:t>
      </w:r>
    </w:p>
    <w:p>
      <w:pPr>
        <w:pStyle w:val="BodyText"/>
      </w:pPr>
      <w:r>
        <w:t xml:space="preserve">Публичная редакция содержит сведения, необходимые для идентификации продукта, оценки его назначения, основных показателей качества, требований безопасности, условий хранения, транспортирования, упаковки, маркировки и порядка подтверждения качества партии.</w:t>
      </w:r>
    </w:p>
    <w:p>
      <w:pPr>
        <w:pStyle w:val="BodyText"/>
      </w:pPr>
      <w:r>
        <w:t xml:space="preserve">В публичную редакцию не включаются сведения, составляющие коммерческую тайну изготовителя, в том числе:</w:t>
      </w:r>
    </w:p>
    <w:p>
      <w:pPr>
        <w:pStyle w:val="BodyText"/>
      </w:pPr>
      <w:r>
        <w:t xml:space="preserve">точное соотношение компонентов;</w:t>
      </w:r>
    </w:p>
    <w:p>
      <w:pPr>
        <w:pStyle w:val="BodyText"/>
      </w:pPr>
      <w:r>
        <w:t xml:space="preserve">рецептура;</w:t>
      </w:r>
    </w:p>
    <w:p>
      <w:pPr>
        <w:pStyle w:val="BodyText"/>
      </w:pPr>
      <w:r>
        <w:t xml:space="preserve">рецептурные диапазоны;</w:t>
      </w:r>
    </w:p>
    <w:p>
      <w:pPr>
        <w:pStyle w:val="BodyText"/>
      </w:pPr>
      <w:r>
        <w:t xml:space="preserve">технологические параметры производства;</w:t>
      </w:r>
    </w:p>
    <w:p>
      <w:pPr>
        <w:pStyle w:val="BodyText"/>
      </w:pPr>
      <w:r>
        <w:t xml:space="preserve">режимы подготовки сырья, сушки, измельчения и смешивания;</w:t>
      </w:r>
    </w:p>
    <w:p>
      <w:pPr>
        <w:pStyle w:val="BodyText"/>
      </w:pPr>
      <w:r>
        <w:t xml:space="preserve">критерии подбора сырья;</w:t>
      </w:r>
    </w:p>
    <w:p>
      <w:pPr>
        <w:pStyle w:val="BodyText"/>
      </w:pPr>
      <w:r>
        <w:t xml:space="preserve">внутренние технологические инструкции;</w:t>
      </w:r>
    </w:p>
    <w:p>
      <w:pPr>
        <w:pStyle w:val="BodyText"/>
      </w:pPr>
      <w:r>
        <w:t xml:space="preserve">производственные регламенты;</w:t>
      </w:r>
    </w:p>
    <w:p>
      <w:pPr>
        <w:pStyle w:val="BodyText"/>
      </w:pPr>
      <w:r>
        <w:t xml:space="preserve">рецептурные карты;</w:t>
      </w:r>
    </w:p>
    <w:p>
      <w:pPr>
        <w:pStyle w:val="BodyText"/>
      </w:pPr>
      <w:r>
        <w:t xml:space="preserve">внутренние формы производственных журналов;</w:t>
      </w:r>
    </w:p>
    <w:p>
      <w:pPr>
        <w:pStyle w:val="BodyText"/>
      </w:pPr>
      <w:r>
        <w:t xml:space="preserve">иные сведения, отнесённые изготовителем к коммерческой тайне.</w:t>
      </w:r>
    </w:p>
    <w:p>
      <w:pPr>
        <w:pStyle w:val="BodyText"/>
      </w:pPr>
      <w:r>
        <w:t xml:space="preserve">Полная редакция технических условий является внутренним нормативным документом изготовителя и предоставляется третьим лицам только в порядке, установленном изготовителем, договором или соглашением о конфиденциальности.</w:t>
      </w:r>
    </w:p>
    <w:p>
      <w:r>
        <w:pict>
          <v:rect style="width:0;height:1.5pt" o:hralign="center" o:hrstd="t" o:hr="t"/>
        </w:pict>
      </w:r>
    </w:p>
    <w:bookmarkEnd w:id="23"/>
    <w:bookmarkStart w:id="24" w:name="область-применения"/>
    <w:p>
      <w:pPr>
        <w:pStyle w:val="Heading1"/>
      </w:pPr>
      <w:r>
        <w:t xml:space="preserve">1. Область применения</w:t>
      </w:r>
    </w:p>
    <w:p>
      <w:pPr>
        <w:pStyle w:val="FirstParagraph"/>
      </w:pPr>
      <w:r>
        <w:t xml:space="preserve">1.1. Настоящие технические условия распространяются на кормовой белковый продукт «ГерметияВит» (далее — продукт), изготавливаемый ООО «Карельские биотехнологии».</w:t>
      </w:r>
    </w:p>
    <w:p>
      <w:pPr>
        <w:pStyle w:val="BodyText"/>
      </w:pPr>
      <w:r>
        <w:t xml:space="preserve">1.2. Продукт предназначен для использования при производстве комбикормов и кормовых смесей в качестве кормового белкового компонента — источника сырого протеина в составе рецептур комбикормов и кормовых смесей.</w:t>
      </w:r>
    </w:p>
    <w:p>
      <w:pPr>
        <w:pStyle w:val="BodyText"/>
      </w:pPr>
      <w:r>
        <w:t xml:space="preserve">1.3. Продукт применяется как сырьевой компонент в рецептурах комбикормов для сельскохозяйственных животных, сельскохозяйственной птицы, объектов аквакультуры и иных животных при использовании в кормовых целях.</w:t>
      </w:r>
    </w:p>
    <w:p>
      <w:pPr>
        <w:pStyle w:val="BodyText"/>
      </w:pPr>
      <w:r>
        <w:t xml:space="preserve">1.4. Продукт не является полнорационным кормом и не предназначен для самостоятельного применения в качестве единственного источника питания животных.</w:t>
      </w:r>
    </w:p>
    <w:p>
      <w:pPr>
        <w:pStyle w:val="BodyText"/>
      </w:pPr>
      <w:r>
        <w:t xml:space="preserve">1.5. Продукт представляет собой сухую измельчённую кормовую смесь, полученную путём механического смешивания кормового сырья из высушенных личинок Hermetia illucens и дроблёного зерна пшеницы.</w:t>
      </w:r>
    </w:p>
    <w:p>
      <w:pPr>
        <w:pStyle w:val="BodyText"/>
      </w:pPr>
      <w:r>
        <w:t xml:space="preserve">1.6. Продукт идентифицируется по следующим признакам:</w:t>
      </w:r>
    </w:p>
    <w:p>
      <w:pPr>
        <w:pStyle w:val="BodyText"/>
      </w:pPr>
      <w:r>
        <w:t xml:space="preserve">наименование: кормовой белковый продукт «ГерметияВит»;</w:t>
      </w:r>
    </w:p>
    <w:p>
      <w:pPr>
        <w:pStyle w:val="BodyText"/>
      </w:pPr>
      <w:r>
        <w:t xml:space="preserve">назначение: сырьевой компонент для производства комбикормов и кормовых смесей;</w:t>
      </w:r>
    </w:p>
    <w:p>
      <w:pPr>
        <w:pStyle w:val="BodyText"/>
      </w:pPr>
      <w:r>
        <w:t xml:space="preserve">состав: продукт из высушенных личинок Hermetia illucens, дроблёное зерно пшеницы;</w:t>
      </w:r>
    </w:p>
    <w:p>
      <w:pPr>
        <w:pStyle w:val="BodyText"/>
      </w:pPr>
      <w:r>
        <w:t xml:space="preserve">форма выпуска: сухая измельчённая смесь;</w:t>
      </w:r>
    </w:p>
    <w:p>
      <w:pPr>
        <w:pStyle w:val="BodyText"/>
      </w:pPr>
      <w:r>
        <w:t xml:space="preserve">гарантируемые показатели качества: массовая доля влаги, массовая доля сырого протеина, массовая доля сырого жира, массовая доля сырой клетчатки, массовая доля сырой золы;</w:t>
      </w:r>
    </w:p>
    <w:p>
      <w:pPr>
        <w:pStyle w:val="BodyText"/>
      </w:pPr>
      <w:r>
        <w:t xml:space="preserve">обозначение настоящих технических условий;</w:t>
      </w:r>
    </w:p>
    <w:p>
      <w:pPr>
        <w:pStyle w:val="BodyText"/>
      </w:pPr>
      <w:r>
        <w:t xml:space="preserve">маркировка и паспорт качества партии.</w:t>
      </w:r>
    </w:p>
    <w:p>
      <w:pPr>
        <w:pStyle w:val="BodyText"/>
      </w:pPr>
      <w:r>
        <w:t xml:space="preserve">1.7. Для целей подтверждения соответствия продукт может быть отнесён к продукции из мухи чёрная львинка в соответствии с действующим классификатором ОКПД 2. Точный код ОКПД 2 указывается в декларации о соответствии после идентификации продукции органом по подтверждению соответствия или заявителем в установленном порядке.</w:t>
      </w:r>
    </w:p>
    <w:p>
      <w:pPr>
        <w:pStyle w:val="BodyText"/>
      </w:pPr>
      <w:r>
        <w:t xml:space="preserve">1.8. В отношении продукта не заявляются лечебные, профилактические, фармакологические, иммуномодулирующие, стимулирующие рост, повышающие продуктивность или иные специальные функциональные свойства.</w:t>
      </w:r>
    </w:p>
    <w:p>
      <w:pPr>
        <w:pStyle w:val="BodyText"/>
      </w:pPr>
      <w:r>
        <w:t xml:space="preserve">1.9. Продукт выпускается серийно.</w:t>
      </w:r>
    </w:p>
    <w:p>
      <w:r>
        <w:pict>
          <v:rect style="width:0;height:1.5pt" o:hralign="center" o:hrstd="t" o:hr="t"/>
        </w:pict>
      </w:r>
    </w:p>
    <w:bookmarkEnd w:id="24"/>
    <w:bookmarkStart w:id="25" w:name="нормативные-ссылки"/>
    <w:p>
      <w:pPr>
        <w:pStyle w:val="Heading1"/>
      </w:pPr>
      <w:r>
        <w:t xml:space="preserve">2. Нормативные ссылки</w:t>
      </w:r>
    </w:p>
    <w:p>
      <w:pPr>
        <w:pStyle w:val="FirstParagraph"/>
      </w:pPr>
      <w:r>
        <w:t xml:space="preserve">В настоящих технических условиях использованы ссылки на следующие нормативные документы:</w:t>
      </w:r>
    </w:p>
    <w:p>
      <w:pPr>
        <w:pStyle w:val="BodyText"/>
      </w:pPr>
      <w:r>
        <w:t xml:space="preserve">Решение Комиссии Таможенного союза от 18.06.2010 №317 «О применении ветеринарно-санитарных мер в Евразийском экономическом союзе»;</w:t>
      </w:r>
    </w:p>
    <w:p>
      <w:pPr>
        <w:pStyle w:val="BodyText"/>
      </w:pPr>
      <w:r>
        <w:t xml:space="preserve">ТР ТС 005/2011 «О безопасности упаковки»;</w:t>
      </w:r>
    </w:p>
    <w:p>
      <w:pPr>
        <w:pStyle w:val="BodyText"/>
      </w:pPr>
      <w:r>
        <w:t xml:space="preserve">ГОСТ Р 54078-2010 «Пшеница кормовая. Технические условия» — используется как ориентир в части требований к зерновому компоненту;</w:t>
      </w:r>
    </w:p>
    <w:p>
      <w:pPr>
        <w:pStyle w:val="BodyText"/>
      </w:pPr>
      <w:r>
        <w:t xml:space="preserve">ГОСТ 13496.3 — корма, комбикорма, комбикормовое сырьё. Методы определения влаги;</w:t>
      </w:r>
    </w:p>
    <w:p>
      <w:pPr>
        <w:pStyle w:val="BodyText"/>
      </w:pPr>
      <w:r>
        <w:t xml:space="preserve">ГОСТ 13496.4 — корма, комбикорма, комбикормовое сырьё. Методы определения азота и сырого протеина;</w:t>
      </w:r>
    </w:p>
    <w:p>
      <w:pPr>
        <w:pStyle w:val="BodyText"/>
      </w:pPr>
      <w:r>
        <w:t xml:space="preserve">ГОСТ 13496.15 — корма, комбикорма, комбикормовое сырьё. Методы определения сырого жира;</w:t>
      </w:r>
    </w:p>
    <w:p>
      <w:pPr>
        <w:pStyle w:val="BodyText"/>
      </w:pPr>
      <w:r>
        <w:t xml:space="preserve">ГОСТ 13496.2 — корма, комбикорма, комбикормовое сырьё. Метод определения сырой клетчатки;</w:t>
      </w:r>
    </w:p>
    <w:p>
      <w:pPr>
        <w:pStyle w:val="BodyText"/>
      </w:pPr>
      <w:r>
        <w:t xml:space="preserve">ГОСТ 26226 — корма, комбикорма, комбикормовое сырьё. Методы определения сырой золы;</w:t>
      </w:r>
    </w:p>
    <w:p>
      <w:pPr>
        <w:pStyle w:val="BodyText"/>
      </w:pPr>
      <w:r>
        <w:t xml:space="preserve">ГОСТ 13496.13 — комбикорма, комбикормовое сырьё. Методы определения запаха, заражённости вредителями и иных органолептических признаков, если применимо;</w:t>
      </w:r>
    </w:p>
    <w:p>
      <w:pPr>
        <w:pStyle w:val="BodyText"/>
      </w:pPr>
      <w:r>
        <w:t xml:space="preserve">действующие нормативные документы и аттестованные методики измерений, применяемые аккредитованными лабораториями для определения микробиологических показателей, токсичных элементов, микотоксинов, пестицидов, радиологических показателей, ГМО, аминокислотного и минерального состава.</w:t>
      </w:r>
    </w:p>
    <w:p>
      <w:pPr>
        <w:pStyle w:val="BodyText"/>
      </w:pPr>
      <w:r>
        <w:t xml:space="preserve">При пользовании настоящими техническими условиями целесообразно проверять действие ссылочных нормативных документов по официальным информационным источникам на дату проведения испытаний, декларирования или поставки продукции.</w:t>
      </w:r>
    </w:p>
    <w:p>
      <w:r>
        <w:pict>
          <v:rect style="width:0;height:1.5pt" o:hralign="center" o:hrstd="t" o:hr="t"/>
        </w:pict>
      </w:r>
    </w:p>
    <w:bookmarkEnd w:id="25"/>
    <w:bookmarkStart w:id="26" w:name="термины-и-определения"/>
    <w:p>
      <w:pPr>
        <w:pStyle w:val="Heading1"/>
      </w:pPr>
      <w:r>
        <w:t xml:space="preserve">3. Термины и определения</w:t>
      </w:r>
    </w:p>
    <w:p>
      <w:pPr>
        <w:pStyle w:val="FirstParagraph"/>
      </w:pPr>
      <w:r>
        <w:t xml:space="preserve">3.1. Кормовой белковый продукт «ГерметияВит»: сухой измельчённый кормовой продукт, представляющий собой механическую смесь кормового сырья из высушенных личинок Hermetia illucens и дроблёного зерна пшеницы, предназначенный для использования в кормовых целях как компонент комбикормов и кормовых смесей.</w:t>
      </w:r>
    </w:p>
    <w:p>
      <w:pPr>
        <w:pStyle w:val="BodyText"/>
      </w:pPr>
      <w:r>
        <w:t xml:space="preserve">3.2. Насекомый компонент: продукт из высушенных личинок Hermetia illucens, используемый при производстве продукта.</w:t>
      </w:r>
    </w:p>
    <w:p>
      <w:pPr>
        <w:pStyle w:val="BodyText"/>
      </w:pPr>
      <w:r>
        <w:t xml:space="preserve">3.3. Зерновой компонент: дроблёное зерно пшеницы, пригодное для кормовых целей и используемое при производстве продукта.</w:t>
      </w:r>
    </w:p>
    <w:p>
      <w:pPr>
        <w:pStyle w:val="BodyText"/>
      </w:pPr>
      <w:r>
        <w:t xml:space="preserve">3.4. Партия: определённое количество продукта одного наименования, изготовленное при неизменных существенных условиях производства за установленный период времени, сопровождаемое одним документом о качестве.</w:t>
      </w:r>
    </w:p>
    <w:p>
      <w:pPr>
        <w:pStyle w:val="BodyText"/>
      </w:pPr>
      <w:r>
        <w:t xml:space="preserve">3.5. Паспорт качества партии: документ изготовителя, удостоверяющий соответствие партии продукции требованиям настоящих технических условий по показателям, предусмотренным для соответствующего вида контроля.</w:t>
      </w:r>
    </w:p>
    <w:p>
      <w:pPr>
        <w:pStyle w:val="BodyText"/>
      </w:pPr>
      <w:r>
        <w:t xml:space="preserve">3.6. Контрольная проба: часть объединённой пробы партии, отобранная и сохранённая изготовителем для возможной претензионной или арбитражной проверки.</w:t>
      </w:r>
    </w:p>
    <w:p>
      <w:r>
        <w:pict>
          <v:rect style="width:0;height:1.5pt" o:hralign="center" o:hrstd="t" o:hr="t"/>
        </w:pict>
      </w:r>
    </w:p>
    <w:bookmarkEnd w:id="26"/>
    <w:bookmarkStart w:id="29" w:name="технические-требования"/>
    <w:p>
      <w:pPr>
        <w:pStyle w:val="Heading1"/>
      </w:pPr>
      <w:r>
        <w:t xml:space="preserve">4. Технические требования</w:t>
      </w:r>
    </w:p>
    <w:bookmarkStart w:id="27" w:name="общие-требования"/>
    <w:p>
      <w:pPr>
        <w:pStyle w:val="Heading2"/>
      </w:pPr>
      <w:r>
        <w:t xml:space="preserve">4.1. Общие требования</w:t>
      </w:r>
    </w:p>
    <w:p>
      <w:pPr>
        <w:pStyle w:val="FirstParagraph"/>
      </w:pPr>
      <w:r>
        <w:t xml:space="preserve">4.1.1. Продукт должен соответствовать требованиям настоящих технических условий и изготавливаться по технологической документации изготовителя с соблюдением требований действующего законодательства к кормовой продукции.</w:t>
      </w:r>
    </w:p>
    <w:p>
      <w:pPr>
        <w:pStyle w:val="BodyText"/>
      </w:pPr>
      <w:r>
        <w:t xml:space="preserve">4.1.2. Производство продукта осуществляется физическими и механическими методами.</w:t>
      </w:r>
    </w:p>
    <w:p>
      <w:pPr>
        <w:pStyle w:val="BodyText"/>
      </w:pPr>
      <w:r>
        <w:t xml:space="preserve">4.1.3. Химическое модифицирование продукта не применяется.</w:t>
      </w:r>
    </w:p>
    <w:p>
      <w:pPr>
        <w:pStyle w:val="BodyText"/>
      </w:pPr>
      <w:r>
        <w:t xml:space="preserve">4.1.4. В процессе производства в продукт специально не вводятся синтетические витамины, синтетические аминокислоты, ферменты, лекарственные вещества, гормональные вещества, пробиотики, консерванты, ароматизаторы, красители и иные специальные функциональные кормовые добавки.</w:t>
      </w:r>
    </w:p>
    <w:p>
      <w:pPr>
        <w:pStyle w:val="BodyText"/>
      </w:pPr>
      <w:r>
        <w:t xml:space="preserve">4.1.5. Присутствие питательных и иных веществ, естественно содержащихся в используемом кормовом сырье, не рассматривается как специальное введение кормовых добавок.</w:t>
      </w:r>
    </w:p>
    <w:p>
      <w:pPr>
        <w:pStyle w:val="BodyText"/>
      </w:pPr>
      <w:r>
        <w:t xml:space="preserve">4.1.6. Продукт выпускается в виде сухой измельчённой смеси.</w:t>
      </w:r>
    </w:p>
    <w:bookmarkEnd w:id="27"/>
    <w:bookmarkStart w:id="28" w:name="состав"/>
    <w:p>
      <w:pPr>
        <w:pStyle w:val="Heading2"/>
      </w:pPr>
      <w:r>
        <w:t xml:space="preserve">4.2. Состав</w:t>
      </w:r>
    </w:p>
    <w:p>
      <w:pPr>
        <w:pStyle w:val="FirstParagraph"/>
      </w:pPr>
      <w:r>
        <w:t xml:space="preserve">4.2.1. Для производства продукта применяются:</w:t>
      </w:r>
    </w:p>
    <w:p>
      <w:pPr>
        <w:pStyle w:val="BodyText"/>
      </w:pPr>
      <w:r>
        <w:t xml:space="preserve">продукт из высушенных личинок Hermetia illucens;</w:t>
      </w:r>
    </w:p>
    <w:p>
      <w:pPr>
        <w:pStyle w:val="BodyText"/>
      </w:pPr>
      <w:r>
        <w:t xml:space="preserve">дроблёное зерно пшеницы.</w:t>
      </w:r>
    </w:p>
    <w:p>
      <w:pPr>
        <w:pStyle w:val="BodyText"/>
      </w:pPr>
      <w:r>
        <w:t xml:space="preserve">4.2.2. Точное соотношение компонентов, рецептура и технологические параметры производства являются коммерческой тайной изготовителя и в публичной редакции технических условий не раскрываются.</w:t>
      </w:r>
    </w:p>
    <w:p>
      <w:pPr>
        <w:pStyle w:val="BodyText"/>
      </w:pPr>
      <w:r>
        <w:t xml:space="preserve">4.2.3. Изменение рецептуры в пределах, обеспечивающих соответствие готового продукта требованиям настоящих технических условий, осуществляется по внутренней документации изготовителя.</w:t>
      </w:r>
    </w:p>
    <w:p>
      <w:r>
        <w:pict>
          <v:rect style="width:0;height:1.5pt" o:hralign="center" o:hrstd="t" o:hr="t"/>
        </w:pict>
      </w:r>
    </w:p>
    <w:bookmarkEnd w:id="28"/>
    <w:bookmarkEnd w:id="29"/>
    <w:bookmarkStart w:id="30" w:name="органолептические-показатели"/>
    <w:p>
      <w:pPr>
        <w:pStyle w:val="Heading1"/>
      </w:pPr>
      <w:r>
        <w:t xml:space="preserve">5. Органолептические показатели</w:t>
      </w:r>
    </w:p>
    <w:p>
      <w:pPr>
        <w:pStyle w:val="FirstParagraph"/>
      </w:pPr>
      <w:r>
        <w:t xml:space="preserve">По органолептическим показателям продукт должен соответствовать требованиям, указанным в таблице 1.</w:t>
      </w:r>
    </w:p>
    <w:p>
      <w:pPr>
        <w:pStyle w:val="BodyText"/>
      </w:pPr>
      <w:r>
        <w:rPr>
          <w:b/>
          <w:bCs/>
        </w:rPr>
        <w:t xml:space="preserve">Таблица 1 — Органолептические показатели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Наименование показателя</w:t>
            </w:r>
          </w:p>
        </w:tc>
        <w:tc>
          <w:tcPr/>
          <w:p>
            <w:pPr>
              <w:pStyle w:val="Compact"/>
            </w:pPr>
            <w:r>
              <w:t xml:space="preserve">Характеристика и норма</w:t>
            </w:r>
          </w:p>
        </w:tc>
        <w:tc>
          <w:tcPr/>
          <w:p>
            <w:pPr>
              <w:pStyle w:val="Compact"/>
            </w:pPr>
            <w:r>
              <w:t xml:space="preserve">Вид контроля</w:t>
            </w:r>
          </w:p>
        </w:tc>
      </w:tr>
      <w:tr>
        <w:tc>
          <w:tcPr/>
          <w:p>
            <w:pPr>
              <w:pStyle w:val="Compact"/>
            </w:pPr>
            <w:r>
              <w:t xml:space="preserve">Внешний вид</w:t>
            </w:r>
          </w:p>
        </w:tc>
        <w:tc>
          <w:tcPr/>
          <w:p>
            <w:pPr>
              <w:pStyle w:val="Compact"/>
            </w:pPr>
            <w:r>
              <w:t xml:space="preserve">Сухая измельчённая масса. Допускается естественная неоднородность частиц, обусловленная используемым сырьём и фракцией помола</w:t>
            </w:r>
          </w:p>
        </w:tc>
        <w:tc>
          <w:tcPr/>
          <w:p>
            <w:pPr>
              <w:pStyle w:val="Compact"/>
            </w:pPr>
            <w:r>
              <w:t xml:space="preserve">Каждая партия</w:t>
            </w:r>
          </w:p>
        </w:tc>
      </w:tr>
      <w:tr>
        <w:tc>
          <w:tcPr/>
          <w:p>
            <w:pPr>
              <w:pStyle w:val="Compact"/>
            </w:pPr>
            <w:r>
              <w:t xml:space="preserve">Цвет</w:t>
            </w:r>
          </w:p>
        </w:tc>
        <w:tc>
          <w:tcPr/>
          <w:p>
            <w:pPr>
              <w:pStyle w:val="Compact"/>
            </w:pPr>
            <w:r>
              <w:t xml:space="preserve">От светло-коричневого до тёмно-коричневого. Допускается неоднородность оттенка, обусловленная используемым сырьём</w:t>
            </w:r>
          </w:p>
        </w:tc>
        <w:tc>
          <w:tcPr/>
          <w:p>
            <w:pPr>
              <w:pStyle w:val="Compact"/>
            </w:pPr>
            <w:r>
              <w:t xml:space="preserve">Каждая партия, справочно</w:t>
            </w:r>
          </w:p>
        </w:tc>
      </w:tr>
      <w:tr>
        <w:tc>
          <w:tcPr/>
          <w:p>
            <w:pPr>
              <w:pStyle w:val="Compact"/>
            </w:pPr>
            <w:r>
              <w:t xml:space="preserve">Запах</w:t>
            </w:r>
          </w:p>
        </w:tc>
        <w:tc>
          <w:tcPr/>
          <w:p>
            <w:pPr>
              <w:pStyle w:val="Compact"/>
            </w:pPr>
            <w:r>
              <w:t xml:space="preserve">Характерный для используемого кормового сырья, без затхлого, гнилостного, плесневелого, химического или иного постороннего запаха</w:t>
            </w:r>
          </w:p>
        </w:tc>
        <w:tc>
          <w:tcPr/>
          <w:p>
            <w:pPr>
              <w:pStyle w:val="Compact"/>
            </w:pPr>
            <w:r>
              <w:t xml:space="preserve">Каждая партия</w:t>
            </w:r>
          </w:p>
        </w:tc>
      </w:tr>
      <w:tr>
        <w:tc>
          <w:tcPr/>
          <w:p>
            <w:pPr>
              <w:pStyle w:val="Compact"/>
            </w:pPr>
            <w:r>
              <w:t xml:space="preserve">Консистенция</w:t>
            </w:r>
          </w:p>
        </w:tc>
        <w:tc>
          <w:tcPr/>
          <w:p>
            <w:pPr>
              <w:pStyle w:val="Compact"/>
            </w:pPr>
            <w:r>
              <w:t xml:space="preserve">Сухая измельчённая смесь. Допускается естественное комкование, разрушаемое лёгким механическим воздействием</w:t>
            </w:r>
          </w:p>
        </w:tc>
        <w:tc>
          <w:tcPr/>
          <w:p>
            <w:pPr>
              <w:pStyle w:val="Compact"/>
            </w:pPr>
            <w:r>
              <w:t xml:space="preserve">Каждая партия</w:t>
            </w:r>
          </w:p>
        </w:tc>
      </w:tr>
      <w:tr>
        <w:tc>
          <w:tcPr/>
          <w:p>
            <w:pPr>
              <w:pStyle w:val="Compact"/>
            </w:pPr>
            <w:r>
              <w:t xml:space="preserve">Посторонние примеси</w:t>
            </w:r>
          </w:p>
        </w:tc>
        <w:tc>
          <w:tcPr/>
          <w:p>
            <w:pPr>
              <w:pStyle w:val="Compact"/>
            </w:pPr>
            <w:r>
              <w:t xml:space="preserve">Видимые посторонние механические примеси не допускаются</w:t>
            </w:r>
          </w:p>
        </w:tc>
        <w:tc>
          <w:tcPr/>
          <w:p>
            <w:pPr>
              <w:pStyle w:val="Compact"/>
            </w:pPr>
            <w:r>
              <w:t xml:space="preserve">Каждая партия</w:t>
            </w:r>
          </w:p>
        </w:tc>
      </w:tr>
      <w:tr>
        <w:tc>
          <w:tcPr/>
          <w:p>
            <w:pPr>
              <w:pStyle w:val="Compact"/>
            </w:pPr>
            <w:r>
              <w:t xml:space="preserve">Плесень</w:t>
            </w:r>
          </w:p>
        </w:tc>
        <w:tc>
          <w:tcPr/>
          <w:p>
            <w:pPr>
              <w:pStyle w:val="Compact"/>
            </w:pPr>
            <w:r>
              <w:t xml:space="preserve">Видимая плесень не допускается</w:t>
            </w:r>
          </w:p>
        </w:tc>
        <w:tc>
          <w:tcPr/>
          <w:p>
            <w:pPr>
              <w:pStyle w:val="Compact"/>
            </w:pPr>
            <w:r>
              <w:t xml:space="preserve">Каждая партия</w:t>
            </w:r>
          </w:p>
        </w:tc>
      </w:tr>
      <w:tr>
        <w:tc>
          <w:tcPr/>
          <w:p>
            <w:pPr>
              <w:pStyle w:val="Compact"/>
            </w:pPr>
            <w:r>
              <w:t xml:space="preserve">Заражённость вредителями</w:t>
            </w:r>
          </w:p>
        </w:tc>
        <w:tc>
          <w:tcPr/>
          <w:p>
            <w:pPr>
              <w:pStyle w:val="Compact"/>
            </w:pPr>
            <w:r>
              <w:t xml:space="preserve">Видимая заражённость вредителями хлебных запасов и иными вредителями не допускается</w:t>
            </w:r>
          </w:p>
        </w:tc>
        <w:tc>
          <w:tcPr/>
          <w:p>
            <w:pPr>
              <w:pStyle w:val="Compact"/>
            </w:pPr>
            <w:r>
              <w:t xml:space="preserve">Каждая партия</w:t>
            </w:r>
          </w:p>
        </w:tc>
      </w:tr>
      <w:tr>
        <w:tc>
          <w:tcPr/>
          <w:p>
            <w:pPr>
              <w:pStyle w:val="Compact"/>
            </w:pPr>
            <w:r>
              <w:t xml:space="preserve">Признаки увлажнения и порчи</w:t>
            </w:r>
          </w:p>
        </w:tc>
        <w:tc>
          <w:tcPr/>
          <w:p>
            <w:pPr>
              <w:pStyle w:val="Compact"/>
            </w:pPr>
            <w:r>
              <w:t xml:space="preserve">Не допускаются</w:t>
            </w:r>
          </w:p>
        </w:tc>
        <w:tc>
          <w:tcPr/>
          <w:p>
            <w:pPr>
              <w:pStyle w:val="Compact"/>
            </w:pPr>
            <w:r>
              <w:t xml:space="preserve">Каждая партия</w:t>
            </w:r>
          </w:p>
        </w:tc>
      </w:tr>
    </w:tbl>
    <w:p>
      <w:pPr>
        <w:pStyle w:val="BodyText"/>
      </w:pPr>
      <w:r>
        <w:t xml:space="preserve">Примечание: цвет не является самостоятельным основанием для браковки партии, если изменение оттенка не сопровождается признаками порчи, увлажнения, плесени, загрязнения, подгорания или иного постороннего воздействия.</w:t>
      </w:r>
    </w:p>
    <w:p>
      <w:r>
        <w:pict>
          <v:rect style="width:0;height:1.5pt" o:hralign="center" o:hrstd="t" o:hr="t"/>
        </w:pict>
      </w:r>
    </w:p>
    <w:bookmarkEnd w:id="30"/>
    <w:bookmarkStart w:id="31" w:name="физико-химические-показатели"/>
    <w:p>
      <w:pPr>
        <w:pStyle w:val="Heading1"/>
      </w:pPr>
      <w:r>
        <w:t xml:space="preserve">6. Физико-химические показатели</w:t>
      </w:r>
    </w:p>
    <w:p>
      <w:pPr>
        <w:pStyle w:val="FirstParagraph"/>
      </w:pPr>
      <w:r>
        <w:t xml:space="preserve">По физико-химическим показателям продукт должен соответствовать требованиям, указанным в таблице 2.</w:t>
      </w:r>
    </w:p>
    <w:p>
      <w:pPr>
        <w:pStyle w:val="BodyText"/>
      </w:pPr>
      <w:r>
        <w:rPr>
          <w:b/>
          <w:bCs/>
        </w:rPr>
        <w:t xml:space="preserve">Таблица 2 — Физико-химические показатели продукта</w:t>
      </w:r>
    </w:p>
    <w:tbl>
      <w:tblPr>
        <w:tblStyle w:val="Table"/>
        <w:tblW w:type="pct" w:w="5000"/>
        <w:tblLayout w:type="fixed"/>
        <w:tblLook w:firstRow="1" w:lastRow="0" w:firstColumn="0" w:lastColumn="0" w:noHBand="0" w:noVBand="0" w:val="0020"/>
      </w:tblPr>
      <w:tblGrid>
        <w:gridCol w:w="2376"/>
        <w:gridCol w:w="3168"/>
        <w:gridCol w:w="2376"/>
      </w:tblGrid>
      <w:tr>
        <w:trPr>
          <w:tblHeader w:val="on"/>
        </w:trPr>
        <w:tc>
          <w:tcPr/>
          <w:p>
            <w:pPr>
              <w:pStyle w:val="Compact"/>
            </w:pPr>
            <w:r>
              <w:t xml:space="preserve">Наименование показателя</w:t>
            </w:r>
          </w:p>
        </w:tc>
        <w:tc>
          <w:tcPr/>
          <w:p>
            <w:pPr>
              <w:pStyle w:val="Compact"/>
              <w:jc w:val="right"/>
            </w:pPr>
            <w:r>
              <w:t xml:space="preserve">Норма</w:t>
            </w:r>
          </w:p>
        </w:tc>
        <w:tc>
          <w:tcPr/>
          <w:p>
            <w:pPr>
              <w:pStyle w:val="Compact"/>
            </w:pPr>
            <w:r>
              <w:t xml:space="preserve">Вид контроля</w:t>
            </w:r>
          </w:p>
        </w:tc>
      </w:tr>
      <w:tr>
        <w:tc>
          <w:tcPr/>
          <w:p>
            <w:pPr>
              <w:pStyle w:val="Compact"/>
            </w:pPr>
            <w:r>
              <w:t xml:space="preserve">Массовая доля влаги, %, не более</w:t>
            </w:r>
          </w:p>
        </w:tc>
        <w:tc>
          <w:tcPr/>
          <w:p>
            <w:pPr>
              <w:pStyle w:val="Compact"/>
              <w:jc w:val="right"/>
            </w:pPr>
            <w:r>
              <w:t xml:space="preserve">10,0</w:t>
            </w:r>
          </w:p>
        </w:tc>
        <w:tc>
          <w:tcPr/>
          <w:p>
            <w:pPr>
              <w:pStyle w:val="Compact"/>
            </w:pPr>
            <w:r>
              <w:t xml:space="preserve">Каждая партия</w:t>
            </w:r>
          </w:p>
        </w:tc>
      </w:tr>
      <w:tr>
        <w:tc>
          <w:tcPr/>
          <w:p>
            <w:pPr>
              <w:pStyle w:val="Compact"/>
            </w:pPr>
            <w:r>
              <w:t xml:space="preserve">Массовая доля сырого протеина, %, не менее</w:t>
            </w:r>
          </w:p>
        </w:tc>
        <w:tc>
          <w:tcPr/>
          <w:p>
            <w:pPr>
              <w:pStyle w:val="Compact"/>
              <w:jc w:val="right"/>
            </w:pPr>
            <w:r>
              <w:t xml:space="preserve">22,0</w:t>
            </w:r>
          </w:p>
        </w:tc>
        <w:tc>
          <w:tcPr/>
          <w:p>
            <w:pPr>
              <w:pStyle w:val="Compact"/>
            </w:pPr>
            <w:r>
              <w:t xml:space="preserve">Каждая партия</w:t>
            </w:r>
          </w:p>
        </w:tc>
      </w:tr>
      <w:tr>
        <w:tc>
          <w:tcPr/>
          <w:p>
            <w:pPr>
              <w:pStyle w:val="Compact"/>
            </w:pPr>
            <w:r>
              <w:t xml:space="preserve">Массовая доля сырого жира, %</w:t>
            </w:r>
          </w:p>
        </w:tc>
        <w:tc>
          <w:tcPr/>
          <w:p>
            <w:pPr>
              <w:pStyle w:val="Compact"/>
              <w:jc w:val="right"/>
            </w:pPr>
            <w:r>
              <w:t xml:space="preserve">15,0–25,0</w:t>
            </w:r>
          </w:p>
        </w:tc>
        <w:tc>
          <w:tcPr/>
          <w:p>
            <w:pPr>
              <w:pStyle w:val="Compact"/>
            </w:pPr>
            <w:r>
              <w:t xml:space="preserve">Периодический контроль</w:t>
            </w:r>
          </w:p>
        </w:tc>
      </w:tr>
      <w:tr>
        <w:tc>
          <w:tcPr/>
          <w:p>
            <w:pPr>
              <w:pStyle w:val="Compact"/>
            </w:pPr>
            <w:r>
              <w:t xml:space="preserve">Массовая доля сырой клетчатки, %, не более</w:t>
            </w:r>
          </w:p>
        </w:tc>
        <w:tc>
          <w:tcPr/>
          <w:p>
            <w:pPr>
              <w:pStyle w:val="Compact"/>
              <w:jc w:val="right"/>
            </w:pPr>
            <w:r>
              <w:t xml:space="preserve">14,0</w:t>
            </w:r>
          </w:p>
        </w:tc>
        <w:tc>
          <w:tcPr/>
          <w:p>
            <w:pPr>
              <w:pStyle w:val="Compact"/>
            </w:pPr>
            <w:r>
              <w:t xml:space="preserve">Периодический контроль</w:t>
            </w:r>
          </w:p>
        </w:tc>
      </w:tr>
      <w:tr>
        <w:tc>
          <w:tcPr/>
          <w:p>
            <w:pPr>
              <w:pStyle w:val="Compact"/>
            </w:pPr>
            <w:r>
              <w:t xml:space="preserve">Массовая доля сырой золы, %, не более</w:t>
            </w:r>
          </w:p>
        </w:tc>
        <w:tc>
          <w:tcPr/>
          <w:p>
            <w:pPr>
              <w:pStyle w:val="Compact"/>
              <w:jc w:val="right"/>
            </w:pPr>
            <w:r>
              <w:t xml:space="preserve">5,0</w:t>
            </w:r>
          </w:p>
        </w:tc>
        <w:tc>
          <w:tcPr/>
          <w:p>
            <w:pPr>
              <w:pStyle w:val="Compact"/>
            </w:pPr>
            <w:r>
              <w:t xml:space="preserve">Периодический контроль</w:t>
            </w:r>
          </w:p>
        </w:tc>
      </w:tr>
      <w:tr>
        <w:tc>
          <w:tcPr/>
          <w:p>
            <w:pPr>
              <w:pStyle w:val="Compact"/>
            </w:pPr>
            <w:r>
              <w:t xml:space="preserve">Крупность помола / фракционный состав</w:t>
            </w:r>
          </w:p>
        </w:tc>
        <w:tc>
          <w:tcPr/>
          <w:p>
            <w:pPr>
              <w:pStyle w:val="Compact"/>
              <w:jc w:val="right"/>
            </w:pPr>
            <w:r>
              <w:t xml:space="preserve">В соответствии со спецификацией, договором поставки или внутренней документацией изготовителя</w:t>
            </w:r>
          </w:p>
        </w:tc>
        <w:tc>
          <w:tcPr/>
          <w:p>
            <w:pPr>
              <w:pStyle w:val="Compact"/>
            </w:pPr>
            <w:r>
              <w:t xml:space="preserve">Периодический или договорной контроль</w:t>
            </w:r>
          </w:p>
        </w:tc>
      </w:tr>
      <w:tr>
        <w:tc>
          <w:tcPr/>
          <w:p>
            <w:pPr>
              <w:pStyle w:val="Compact"/>
            </w:pPr>
            <w:r>
              <w:t xml:space="preserve">Перекиси / перекисное число жира</w:t>
            </w:r>
          </w:p>
        </w:tc>
        <w:tc>
          <w:tcPr/>
          <w:p>
            <w:pPr>
              <w:pStyle w:val="Compact"/>
              <w:jc w:val="right"/>
            </w:pPr>
            <w:r>
              <w:t xml:space="preserve">В соответствии со спецификацией, договором поставки или программой контроля изготовителя</w:t>
            </w:r>
          </w:p>
        </w:tc>
        <w:tc>
          <w:tcPr/>
          <w:p>
            <w:pPr>
              <w:pStyle w:val="Compact"/>
            </w:pPr>
            <w:r>
              <w:t xml:space="preserve">Периодический контроль</w:t>
            </w:r>
          </w:p>
        </w:tc>
      </w:tr>
      <w:tr>
        <w:tc>
          <w:tcPr/>
          <w:p>
            <w:pPr>
              <w:pStyle w:val="Compact"/>
            </w:pPr>
            <w:r>
              <w:t xml:space="preserve">Кислотное число жира</w:t>
            </w:r>
          </w:p>
        </w:tc>
        <w:tc>
          <w:tcPr/>
          <w:p>
            <w:pPr>
              <w:pStyle w:val="Compact"/>
              <w:jc w:val="right"/>
            </w:pPr>
            <w:r>
              <w:t xml:space="preserve">Справочно, по программе наблюдения за стабильностью продукта или по требованию покупателя</w:t>
            </w:r>
          </w:p>
        </w:tc>
        <w:tc>
          <w:tcPr/>
          <w:p>
            <w:pPr>
              <w:pStyle w:val="Compact"/>
            </w:pPr>
            <w:r>
              <w:t xml:space="preserve">Периодический или договорной контроль</w:t>
            </w:r>
          </w:p>
        </w:tc>
      </w:tr>
      <w:tr>
        <w:tc>
          <w:tcPr/>
          <w:p>
            <w:pPr>
              <w:pStyle w:val="Compact"/>
            </w:pPr>
            <w:r>
              <w:t xml:space="preserve">Металломагнитная примесь</w:t>
            </w:r>
          </w:p>
        </w:tc>
        <w:tc>
          <w:tcPr/>
          <w:p>
            <w:pPr>
              <w:pStyle w:val="Compact"/>
              <w:jc w:val="right"/>
            </w:pPr>
            <w:r>
              <w:t xml:space="preserve">В соответствии с требованиями применимых нормативных документов или договором поставки</w:t>
            </w:r>
          </w:p>
        </w:tc>
        <w:tc>
          <w:tcPr/>
          <w:p>
            <w:pPr>
              <w:pStyle w:val="Compact"/>
            </w:pPr>
            <w:r>
              <w:t xml:space="preserve">Периодический контроль</w:t>
            </w:r>
          </w:p>
        </w:tc>
      </w:tr>
    </w:tbl>
    <w:p>
      <w:pPr>
        <w:pStyle w:val="BodyText"/>
      </w:pPr>
      <w:r>
        <w:t xml:space="preserve">Примечания:</w:t>
      </w:r>
    </w:p>
    <w:p>
      <w:pPr>
        <w:numPr>
          <w:ilvl w:val="0"/>
          <w:numId w:val="1001"/>
        </w:numPr>
      </w:pPr>
      <w:r>
        <w:t xml:space="preserve">Ориентировочная фактическая массовая доля сырого протеина в продукте составляет около 25,5%, однако гарантируемое значение для целей настоящих технических условий устанавливается на уровне не менее 22,0%.</w:t>
      </w:r>
    </w:p>
    <w:p>
      <w:pPr>
        <w:numPr>
          <w:ilvl w:val="0"/>
          <w:numId w:val="1001"/>
        </w:numPr>
      </w:pPr>
      <w:r>
        <w:t xml:space="preserve">Кальций, фосфор, аминокислотный профиль, жирнокислотный профиль, минеральный состав и иные показатели питательности могут указываться в спецификации, информационном листе или протоколе испытаний как справочные, расчётные, периодически подтверждаемые или договорные показатели.</w:t>
      </w:r>
    </w:p>
    <w:p>
      <w:pPr>
        <w:numPr>
          <w:ilvl w:val="0"/>
          <w:numId w:val="1001"/>
        </w:numPr>
      </w:pPr>
      <w:r>
        <w:t xml:space="preserve">Обменная энергия в описании продукта, маркировке и обязательных показателях настоящих технических условий не указывается.</w:t>
      </w:r>
    </w:p>
    <w:p>
      <w:pPr>
        <w:numPr>
          <w:ilvl w:val="0"/>
          <w:numId w:val="1001"/>
        </w:numPr>
      </w:pPr>
      <w:r>
        <w:t xml:space="preserve">Аминокислотный профиль, минеральный профиль и жирнокислотный профиль не подлежат обязательному контролю каждой партии, если иное не установлено договором поставки, программой производственного контроля, требованиями покупателя или требованиями органа по подтверждению соответствия.</w:t>
      </w:r>
    </w:p>
    <w:p>
      <w:r>
        <w:pict>
          <v:rect style="width:0;height:1.5pt" o:hralign="center" o:hrstd="t" o:hr="t"/>
        </w:pict>
      </w:r>
    </w:p>
    <w:bookmarkEnd w:id="31"/>
    <w:bookmarkStart w:id="32" w:name="требования-к-сырью"/>
    <w:p>
      <w:pPr>
        <w:pStyle w:val="Heading1"/>
      </w:pPr>
      <w:r>
        <w:t xml:space="preserve">7. Требования к сырью</w:t>
      </w:r>
    </w:p>
    <w:p>
      <w:pPr>
        <w:pStyle w:val="FirstParagraph"/>
      </w:pPr>
      <w:r>
        <w:t xml:space="preserve">7.1. Сырьё, используемое для производства продукта, должно быть пригодным для кормовых целей, доброкачественным, прослеживаемым по происхождению и безопасным по нормируемым показателям.</w:t>
      </w:r>
    </w:p>
    <w:p>
      <w:pPr>
        <w:pStyle w:val="BodyText"/>
      </w:pPr>
      <w:r>
        <w:t xml:space="preserve">7.2. Сырьё должно сопровождаться документами поставщика, подтверждающими его наименование, происхождение, количество, качество и безопасность, если такие документы предусмотрены законодательством, договором поставки или внутренней системой контроля изготовителя.</w:t>
      </w:r>
    </w:p>
    <w:p>
      <w:pPr>
        <w:pStyle w:val="BodyText"/>
      </w:pPr>
      <w:r>
        <w:t xml:space="preserve">7.3. Не допускается использование сырья:</w:t>
      </w:r>
    </w:p>
    <w:p>
      <w:pPr>
        <w:pStyle w:val="BodyText"/>
      </w:pPr>
      <w:r>
        <w:t xml:space="preserve">с признаками плесени;</w:t>
      </w:r>
    </w:p>
    <w:p>
      <w:pPr>
        <w:pStyle w:val="BodyText"/>
      </w:pPr>
      <w:r>
        <w:t xml:space="preserve">с признаками гниения;</w:t>
      </w:r>
    </w:p>
    <w:p>
      <w:pPr>
        <w:pStyle w:val="BodyText"/>
      </w:pPr>
      <w:r>
        <w:t xml:space="preserve">с затхлым, гнилостным, химическим или иным посторонним запахом;</w:t>
      </w:r>
    </w:p>
    <w:p>
      <w:pPr>
        <w:pStyle w:val="BodyText"/>
      </w:pPr>
      <w:r>
        <w:t xml:space="preserve">с признаками самосогревания;</w:t>
      </w:r>
    </w:p>
    <w:p>
      <w:pPr>
        <w:pStyle w:val="BodyText"/>
      </w:pPr>
      <w:r>
        <w:t xml:space="preserve">с признаками увлажнения и порчи;</w:t>
      </w:r>
    </w:p>
    <w:p>
      <w:pPr>
        <w:pStyle w:val="BodyText"/>
      </w:pPr>
      <w:r>
        <w:t xml:space="preserve">с недопустимой заражённостью вредителями;</w:t>
      </w:r>
    </w:p>
    <w:p>
      <w:pPr>
        <w:pStyle w:val="BodyText"/>
      </w:pPr>
      <w:r>
        <w:t xml:space="preserve">с видимыми посторонними механическими примесями, не допускаемыми для кормового сырья;</w:t>
      </w:r>
    </w:p>
    <w:p>
      <w:pPr>
        <w:pStyle w:val="BodyText"/>
      </w:pPr>
      <w:r>
        <w:t xml:space="preserve">с превышением допустимых уровней токсичных элементов, микотоксинов, пестицидов, радионуклидов и иных нормируемых загрязнителей;</w:t>
      </w:r>
    </w:p>
    <w:p>
      <w:pPr>
        <w:pStyle w:val="BodyText"/>
      </w:pPr>
      <w:r>
        <w:t xml:space="preserve">не предназначенного для кормовых целей;</w:t>
      </w:r>
    </w:p>
    <w:p>
      <w:pPr>
        <w:pStyle w:val="BodyText"/>
      </w:pPr>
      <w:r>
        <w:t xml:space="preserve">не имеющего прослеживаемого происхождения.</w:t>
      </w:r>
    </w:p>
    <w:p>
      <w:pPr>
        <w:pStyle w:val="BodyText"/>
      </w:pPr>
      <w:r>
        <w:t xml:space="preserve">7.4. Входной контроль сырья осуществляется изготовителем по внутренней программе контроля качества и безопасности.</w:t>
      </w:r>
    </w:p>
    <w:p>
      <w:pPr>
        <w:pStyle w:val="BodyText"/>
      </w:pPr>
      <w:r>
        <w:t xml:space="preserve">7.5. Сведения о поставщиках сырья, критериях подбора сырья, параметрах входного контроля и внутренних процедурах оценки сырья являются внутренней информацией изготовителя и в публичной редакции технических условий не раскрываются.</w:t>
      </w:r>
    </w:p>
    <w:p>
      <w:r>
        <w:pict>
          <v:rect style="width:0;height:1.5pt" o:hralign="center" o:hrstd="t" o:hr="t"/>
        </w:pict>
      </w:r>
    </w:p>
    <w:bookmarkEnd w:id="32"/>
    <w:bookmarkStart w:id="33" w:name="Xbd3c03055e09f609c84d84db00c18b1192a46bf"/>
    <w:p>
      <w:pPr>
        <w:pStyle w:val="Heading1"/>
      </w:pPr>
      <w:r>
        <w:t xml:space="preserve">8. Общая характеристика технологического процесса</w:t>
      </w:r>
    </w:p>
    <w:p>
      <w:pPr>
        <w:pStyle w:val="FirstParagraph"/>
      </w:pPr>
      <w:r>
        <w:t xml:space="preserve">8.1. Продукт производится путём подготовки кормового сырья, измельчения, дозирования, механического смешивания, фасования, упаковки и маркировки.</w:t>
      </w:r>
    </w:p>
    <w:p>
      <w:pPr>
        <w:pStyle w:val="BodyText"/>
      </w:pPr>
      <w:r>
        <w:t xml:space="preserve">8.2. Производство продукта является физическим и механическим процессом.</w:t>
      </w:r>
    </w:p>
    <w:p>
      <w:pPr>
        <w:pStyle w:val="BodyText"/>
      </w:pPr>
      <w:r>
        <w:t xml:space="preserve">8.3. Химическое модифицирование продукта не применяется.</w:t>
      </w:r>
    </w:p>
    <w:p>
      <w:pPr>
        <w:pStyle w:val="BodyText"/>
      </w:pPr>
      <w:r>
        <w:t xml:space="preserve">8.4. Конкретные режимы подготовки сырья, сушки, измельчения, смешивания, фасования, производительность оборудования, продолжительность операций, параметры технологического процесса и иные производственные сведения являются коммерческой тайной изготовителя и в публичной редакции технических условий не раскрываются.</w:t>
      </w:r>
    </w:p>
    <w:p>
      <w:r>
        <w:pict>
          <v:rect style="width:0;height:1.5pt" o:hralign="center" o:hrstd="t" o:hr="t"/>
        </w:pict>
      </w:r>
    </w:p>
    <w:bookmarkEnd w:id="33"/>
    <w:bookmarkStart w:id="34" w:name="требования-безопасности"/>
    <w:p>
      <w:pPr>
        <w:pStyle w:val="Heading1"/>
      </w:pPr>
      <w:r>
        <w:t xml:space="preserve">9. Требования безопасности</w:t>
      </w:r>
    </w:p>
    <w:p>
      <w:pPr>
        <w:pStyle w:val="FirstParagraph"/>
      </w:pPr>
      <w:r>
        <w:t xml:space="preserve">9.1. Продукт должен быть безопасным для использования по назначению и соответствовать требованиям действующего законодательства Российской Федерации и Евразийского экономического союза к кормовой продукции, кормовому сырью и товарам, подлежащим ветеринарному контролю.</w:t>
      </w:r>
    </w:p>
    <w:p>
      <w:pPr>
        <w:pStyle w:val="BodyText"/>
      </w:pPr>
      <w:r>
        <w:t xml:space="preserve">9.2. Контроль безопасности продукта осуществляется в рамках первичного подтверждения соответствия, периодического производственного контроля, внеочередного контроля, контроля по требованию покупателя или контроля по требованию уполномоченных органов.</w:t>
      </w:r>
    </w:p>
    <w:p>
      <w:pPr>
        <w:pStyle w:val="BodyText"/>
      </w:pPr>
      <w:r>
        <w:t xml:space="preserve">9.3. Показатели безопасности не подлежат обязательному контролю каждой партии, если иное не предусмотрено законодательством, договором поставки, программой производственного контроля, решением ответственного лица изготовителя или требованиями уполномоченных органов.</w:t>
      </w:r>
    </w:p>
    <w:p>
      <w:pPr>
        <w:pStyle w:val="BodyText"/>
      </w:pPr>
      <w:r>
        <w:t xml:space="preserve">9.4. С учётом состава продукта и наличия в нём насекомого и зернового компонентов в программу контроля безопасности включаются микробиологические показатели, токсичные элементы, микотоксины, пестициды, радиологические показатели, ГМО при необходимости, а также показатели окислительной порчи жира.</w:t>
      </w:r>
    </w:p>
    <w:p>
      <w:pPr>
        <w:pStyle w:val="BodyText"/>
      </w:pPr>
      <w:r>
        <w:t xml:space="preserve">9.5. Показатели безопасности готового продукта приведены в таблице 3.</w:t>
      </w:r>
    </w:p>
    <w:p>
      <w:pPr>
        <w:pStyle w:val="BodyText"/>
      </w:pPr>
      <w:r>
        <w:rPr>
          <w:b/>
          <w:bCs/>
        </w:rPr>
        <w:t xml:space="preserve">Таблица 3 — Показатели безопасности готового продукта</w:t>
      </w:r>
    </w:p>
    <w:tbl>
      <w:tblPr>
        <w:tblStyle w:val="Table"/>
        <w:tblW w:type="pct" w:w="5000"/>
        <w:tblLayout w:type="fixed"/>
        <w:tblLook w:firstRow="1" w:lastRow="0" w:firstColumn="0" w:lastColumn="0" w:noHBand="0" w:noVBand="0" w:val="0020"/>
      </w:tblPr>
      <w:tblGrid>
        <w:gridCol w:w="1827"/>
        <w:gridCol w:w="1827"/>
        <w:gridCol w:w="2436"/>
        <w:gridCol w:w="1827"/>
      </w:tblGrid>
      <w:tr>
        <w:trPr>
          <w:tblHeader w:val="on"/>
        </w:trPr>
        <w:tc>
          <w:tcPr/>
          <w:p>
            <w:pPr>
              <w:pStyle w:val="Compact"/>
            </w:pPr>
            <w:r>
              <w:t xml:space="preserve">Группа показателей</w:t>
            </w:r>
          </w:p>
        </w:tc>
        <w:tc>
          <w:tcPr/>
          <w:p>
            <w:pPr>
              <w:pStyle w:val="Compact"/>
            </w:pPr>
            <w:r>
              <w:t xml:space="preserve">Показатель</w:t>
            </w:r>
          </w:p>
        </w:tc>
        <w:tc>
          <w:tcPr/>
          <w:p>
            <w:pPr>
              <w:pStyle w:val="Compact"/>
              <w:jc w:val="right"/>
            </w:pPr>
            <w:r>
              <w:t xml:space="preserve">Допустимый уровень, не более / требование</w:t>
            </w:r>
          </w:p>
        </w:tc>
        <w:tc>
          <w:tcPr/>
          <w:p>
            <w:pPr>
              <w:pStyle w:val="Compact"/>
            </w:pPr>
            <w:r>
              <w:t xml:space="preserve">Вид контроля</w:t>
            </w:r>
          </w:p>
        </w:tc>
      </w:tr>
      <w:tr>
        <w:tc>
          <w:tcPr/>
          <w:p>
            <w:pPr>
              <w:pStyle w:val="Compact"/>
            </w:pPr>
            <w:r>
              <w:t xml:space="preserve">Микробиологические показатели</w:t>
            </w:r>
          </w:p>
        </w:tc>
        <w:tc>
          <w:tcPr/>
          <w:p>
            <w:pPr>
              <w:pStyle w:val="Compact"/>
            </w:pPr>
            <w:r>
              <w:t xml:space="preserve">Общая бактериальная обсеменённость / КМАФАнМ</w:t>
            </w:r>
          </w:p>
        </w:tc>
        <w:tc>
          <w:tcPr/>
          <w:p>
            <w:pPr>
              <w:pStyle w:val="Compact"/>
              <w:jc w:val="right"/>
            </w:pPr>
            <w:r>
              <w:t xml:space="preserve">5 × 10⁵ м.к. / г</w:t>
            </w:r>
          </w:p>
        </w:tc>
        <w:tc>
          <w:tcPr/>
          <w:p>
            <w:pPr>
              <w:pStyle w:val="Compact"/>
            </w:pPr>
            <w:r>
              <w:t xml:space="preserve">Декларационный, периодический, внеочередной</w:t>
            </w:r>
          </w:p>
        </w:tc>
      </w:tr>
      <w:tr>
        <w:tc>
          <w:tcPr/>
          <w:p>
            <w:pPr>
              <w:pStyle w:val="Compact"/>
            </w:pPr>
            <w:r>
              <w:t xml:space="preserve">Микробиологические показатели</w:t>
            </w:r>
          </w:p>
        </w:tc>
        <w:tc>
          <w:tcPr/>
          <w:p>
            <w:pPr>
              <w:pStyle w:val="Compact"/>
            </w:pPr>
            <w:r>
              <w:t xml:space="preserve">Бактерии рода Salmonella</w:t>
            </w:r>
          </w:p>
        </w:tc>
        <w:tc>
          <w:tcPr/>
          <w:p>
            <w:pPr>
              <w:pStyle w:val="Compact"/>
              <w:jc w:val="right"/>
            </w:pPr>
            <w:r>
              <w:t xml:space="preserve">Не допускаются в 25 г</w:t>
            </w:r>
          </w:p>
        </w:tc>
        <w:tc>
          <w:tcPr/>
          <w:p>
            <w:pPr>
              <w:pStyle w:val="Compact"/>
            </w:pPr>
            <w:r>
              <w:t xml:space="preserve">Декларационный, периодический, внеочередной</w:t>
            </w:r>
          </w:p>
        </w:tc>
      </w:tr>
      <w:tr>
        <w:tc>
          <w:tcPr/>
          <w:p>
            <w:pPr>
              <w:pStyle w:val="Compact"/>
            </w:pPr>
            <w:r>
              <w:t xml:space="preserve">Микробиологические показатели</w:t>
            </w:r>
          </w:p>
        </w:tc>
        <w:tc>
          <w:tcPr/>
          <w:p>
            <w:pPr>
              <w:pStyle w:val="Compact"/>
            </w:pPr>
            <w:r>
              <w:t xml:space="preserve">Энтеропатогенные эшерихии / Escherichia coli</w:t>
            </w:r>
          </w:p>
        </w:tc>
        <w:tc>
          <w:tcPr/>
          <w:p>
            <w:pPr>
              <w:pStyle w:val="Compact"/>
              <w:jc w:val="right"/>
            </w:pPr>
            <w:r>
              <w:t xml:space="preserve">Не допускаются по применяемой методике испытаний</w:t>
            </w:r>
          </w:p>
        </w:tc>
        <w:tc>
          <w:tcPr/>
          <w:p>
            <w:pPr>
              <w:pStyle w:val="Compact"/>
            </w:pPr>
            <w:r>
              <w:t xml:space="preserve">Декларационный, периодический, внеочередной</w:t>
            </w:r>
          </w:p>
        </w:tc>
      </w:tr>
      <w:tr>
        <w:tc>
          <w:tcPr/>
          <w:p>
            <w:pPr>
              <w:pStyle w:val="Compact"/>
            </w:pPr>
            <w:r>
              <w:t xml:space="preserve">Микробиологические показатели</w:t>
            </w:r>
          </w:p>
        </w:tc>
        <w:tc>
          <w:tcPr/>
          <w:p>
            <w:pPr>
              <w:pStyle w:val="Compact"/>
            </w:pPr>
            <w:r>
              <w:t xml:space="preserve">Анаэробная микрофлора</w:t>
            </w:r>
          </w:p>
        </w:tc>
        <w:tc>
          <w:tcPr/>
          <w:p>
            <w:pPr>
              <w:pStyle w:val="Compact"/>
              <w:jc w:val="right"/>
            </w:pPr>
            <w:r>
              <w:t xml:space="preserve">Не допускается по применяемой методике испытаний</w:t>
            </w:r>
          </w:p>
        </w:tc>
        <w:tc>
          <w:tcPr/>
          <w:p>
            <w:pPr>
              <w:pStyle w:val="Compact"/>
            </w:pPr>
            <w:r>
              <w:t xml:space="preserve">Декларационный или внеочередной при наличии риска</w:t>
            </w:r>
          </w:p>
        </w:tc>
      </w:tr>
      <w:tr>
        <w:tc>
          <w:tcPr/>
          <w:p>
            <w:pPr>
              <w:pStyle w:val="Compact"/>
            </w:pPr>
            <w:r>
              <w:t xml:space="preserve">Токсичные элементы</w:t>
            </w:r>
          </w:p>
        </w:tc>
        <w:tc>
          <w:tcPr/>
          <w:p>
            <w:pPr>
              <w:pStyle w:val="Compact"/>
            </w:pPr>
            <w:r>
              <w:t xml:space="preserve">Свинец, мг/кг</w:t>
            </w:r>
          </w:p>
        </w:tc>
        <w:tc>
          <w:tcPr/>
          <w:p>
            <w:pPr>
              <w:pStyle w:val="Compact"/>
              <w:jc w:val="right"/>
            </w:pPr>
            <w:r>
              <w:t xml:space="preserve">5,0</w:t>
            </w:r>
          </w:p>
        </w:tc>
        <w:tc>
          <w:tcPr/>
          <w:p>
            <w:pPr>
              <w:pStyle w:val="Compact"/>
            </w:pPr>
            <w:r>
              <w:t xml:space="preserve">Декларационный, периодический</w:t>
            </w:r>
          </w:p>
        </w:tc>
      </w:tr>
      <w:tr>
        <w:tc>
          <w:tcPr/>
          <w:p>
            <w:pPr>
              <w:pStyle w:val="Compact"/>
            </w:pPr>
            <w:r>
              <w:t xml:space="preserve">Токсичные элементы</w:t>
            </w:r>
          </w:p>
        </w:tc>
        <w:tc>
          <w:tcPr/>
          <w:p>
            <w:pPr>
              <w:pStyle w:val="Compact"/>
            </w:pPr>
            <w:r>
              <w:t xml:space="preserve">Кадмий, мг/кг</w:t>
            </w:r>
          </w:p>
        </w:tc>
        <w:tc>
          <w:tcPr/>
          <w:p>
            <w:pPr>
              <w:pStyle w:val="Compact"/>
              <w:jc w:val="right"/>
            </w:pPr>
            <w:r>
              <w:t xml:space="preserve">0,3</w:t>
            </w:r>
          </w:p>
        </w:tc>
        <w:tc>
          <w:tcPr/>
          <w:p>
            <w:pPr>
              <w:pStyle w:val="Compact"/>
            </w:pPr>
            <w:r>
              <w:t xml:space="preserve">Декларационный, периодический</w:t>
            </w:r>
          </w:p>
        </w:tc>
      </w:tr>
      <w:tr>
        <w:tc>
          <w:tcPr/>
          <w:p>
            <w:pPr>
              <w:pStyle w:val="Compact"/>
            </w:pPr>
            <w:r>
              <w:t xml:space="preserve">Токсичные элементы</w:t>
            </w:r>
          </w:p>
        </w:tc>
        <w:tc>
          <w:tcPr/>
          <w:p>
            <w:pPr>
              <w:pStyle w:val="Compact"/>
            </w:pPr>
            <w:r>
              <w:t xml:space="preserve">Ртуть, мг/кг</w:t>
            </w:r>
          </w:p>
        </w:tc>
        <w:tc>
          <w:tcPr/>
          <w:p>
            <w:pPr>
              <w:pStyle w:val="Compact"/>
              <w:jc w:val="right"/>
            </w:pPr>
            <w:r>
              <w:t xml:space="preserve">0,05</w:t>
            </w:r>
          </w:p>
        </w:tc>
        <w:tc>
          <w:tcPr/>
          <w:p>
            <w:pPr>
              <w:pStyle w:val="Compact"/>
            </w:pPr>
            <w:r>
              <w:t xml:space="preserve">Декларационный, периодический</w:t>
            </w:r>
          </w:p>
        </w:tc>
      </w:tr>
      <w:tr>
        <w:tc>
          <w:tcPr/>
          <w:p>
            <w:pPr>
              <w:pStyle w:val="Compact"/>
            </w:pPr>
            <w:r>
              <w:t xml:space="preserve">Токсичные элементы</w:t>
            </w:r>
          </w:p>
        </w:tc>
        <w:tc>
          <w:tcPr/>
          <w:p>
            <w:pPr>
              <w:pStyle w:val="Compact"/>
            </w:pPr>
            <w:r>
              <w:t xml:space="preserve">Мышьяк, мг/кг</w:t>
            </w:r>
          </w:p>
        </w:tc>
        <w:tc>
          <w:tcPr/>
          <w:p>
            <w:pPr>
              <w:pStyle w:val="Compact"/>
              <w:jc w:val="right"/>
            </w:pPr>
            <w:r>
              <w:t xml:space="preserve">0,5</w:t>
            </w:r>
          </w:p>
        </w:tc>
        <w:tc>
          <w:tcPr/>
          <w:p>
            <w:pPr>
              <w:pStyle w:val="Compact"/>
            </w:pPr>
            <w:r>
              <w:t xml:space="preserve">Декларационный, периодический</w:t>
            </w:r>
          </w:p>
        </w:tc>
      </w:tr>
      <w:tr>
        <w:tc>
          <w:tcPr/>
          <w:p>
            <w:pPr>
              <w:pStyle w:val="Compact"/>
            </w:pPr>
            <w:r>
              <w:t xml:space="preserve">Микотоксины</w:t>
            </w:r>
          </w:p>
        </w:tc>
        <w:tc>
          <w:tcPr/>
          <w:p>
            <w:pPr>
              <w:pStyle w:val="Compact"/>
            </w:pPr>
            <w:r>
              <w:t xml:space="preserve">Афлатоксин B1, мг/кг</w:t>
            </w:r>
          </w:p>
        </w:tc>
        <w:tc>
          <w:tcPr/>
          <w:p>
            <w:pPr>
              <w:pStyle w:val="Compact"/>
              <w:jc w:val="right"/>
            </w:pPr>
            <w:r>
              <w:t xml:space="preserve">0,002</w:t>
            </w:r>
          </w:p>
        </w:tc>
        <w:tc>
          <w:tcPr/>
          <w:p>
            <w:pPr>
              <w:pStyle w:val="Compact"/>
            </w:pPr>
            <w:r>
              <w:t xml:space="preserve">Декларационный, периодический</w:t>
            </w:r>
          </w:p>
        </w:tc>
      </w:tr>
      <w:tr>
        <w:tc>
          <w:tcPr/>
          <w:p>
            <w:pPr>
              <w:pStyle w:val="Compact"/>
            </w:pPr>
            <w:r>
              <w:t xml:space="preserve">Микотоксины</w:t>
            </w:r>
          </w:p>
        </w:tc>
        <w:tc>
          <w:tcPr/>
          <w:p>
            <w:pPr>
              <w:pStyle w:val="Compact"/>
            </w:pPr>
            <w:r>
              <w:t xml:space="preserve">Сумма афлатоксинов B1, B2, G1, G2, мг/кг</w:t>
            </w:r>
          </w:p>
        </w:tc>
        <w:tc>
          <w:tcPr/>
          <w:p>
            <w:pPr>
              <w:pStyle w:val="Compact"/>
              <w:jc w:val="right"/>
            </w:pPr>
            <w:r>
              <w:t xml:space="preserve">0,004</w:t>
            </w:r>
          </w:p>
        </w:tc>
        <w:tc>
          <w:tcPr/>
          <w:p>
            <w:pPr>
              <w:pStyle w:val="Compact"/>
            </w:pPr>
            <w:r>
              <w:t xml:space="preserve">Декларационный, периодический или по требованию лаборатории</w:t>
            </w:r>
          </w:p>
        </w:tc>
      </w:tr>
      <w:tr>
        <w:tc>
          <w:tcPr/>
          <w:p>
            <w:pPr>
              <w:pStyle w:val="Compact"/>
            </w:pPr>
            <w:r>
              <w:t xml:space="preserve">Микотоксины</w:t>
            </w:r>
          </w:p>
        </w:tc>
        <w:tc>
          <w:tcPr/>
          <w:p>
            <w:pPr>
              <w:pStyle w:val="Compact"/>
            </w:pPr>
            <w:r>
              <w:t xml:space="preserve">Зеараленон, мг/кг</w:t>
            </w:r>
          </w:p>
        </w:tc>
        <w:tc>
          <w:tcPr/>
          <w:p>
            <w:pPr>
              <w:pStyle w:val="Compact"/>
              <w:jc w:val="right"/>
            </w:pPr>
            <w:r>
              <w:t xml:space="preserve">0,1</w:t>
            </w:r>
          </w:p>
        </w:tc>
        <w:tc>
          <w:tcPr/>
          <w:p>
            <w:pPr>
              <w:pStyle w:val="Compact"/>
            </w:pPr>
            <w:r>
              <w:t xml:space="preserve">Декларационный, периодический</w:t>
            </w:r>
          </w:p>
        </w:tc>
      </w:tr>
      <w:tr>
        <w:tc>
          <w:tcPr/>
          <w:p>
            <w:pPr>
              <w:pStyle w:val="Compact"/>
            </w:pPr>
            <w:r>
              <w:t xml:space="preserve">Микотоксины</w:t>
            </w:r>
          </w:p>
        </w:tc>
        <w:tc>
          <w:tcPr/>
          <w:p>
            <w:pPr>
              <w:pStyle w:val="Compact"/>
            </w:pPr>
            <w:r>
              <w:t xml:space="preserve">T-2 токсин, мг/кг</w:t>
            </w:r>
          </w:p>
        </w:tc>
        <w:tc>
          <w:tcPr/>
          <w:p>
            <w:pPr>
              <w:pStyle w:val="Compact"/>
              <w:jc w:val="right"/>
            </w:pPr>
            <w:r>
              <w:t xml:space="preserve">0,06</w:t>
            </w:r>
          </w:p>
        </w:tc>
        <w:tc>
          <w:tcPr/>
          <w:p>
            <w:pPr>
              <w:pStyle w:val="Compact"/>
            </w:pPr>
            <w:r>
              <w:t xml:space="preserve">Декларационный, периодический</w:t>
            </w:r>
          </w:p>
        </w:tc>
      </w:tr>
      <w:tr>
        <w:tc>
          <w:tcPr/>
          <w:p>
            <w:pPr>
              <w:pStyle w:val="Compact"/>
            </w:pPr>
            <w:r>
              <w:t xml:space="preserve">Микотоксины</w:t>
            </w:r>
          </w:p>
        </w:tc>
        <w:tc>
          <w:tcPr/>
          <w:p>
            <w:pPr>
              <w:pStyle w:val="Compact"/>
            </w:pPr>
            <w:r>
              <w:t xml:space="preserve">Дезоксиниваленол / DON, мг/кг</w:t>
            </w:r>
          </w:p>
        </w:tc>
        <w:tc>
          <w:tcPr/>
          <w:p>
            <w:pPr>
              <w:pStyle w:val="Compact"/>
              <w:jc w:val="right"/>
            </w:pPr>
            <w:r>
              <w:t xml:space="preserve">1,0</w:t>
            </w:r>
          </w:p>
        </w:tc>
        <w:tc>
          <w:tcPr/>
          <w:p>
            <w:pPr>
              <w:pStyle w:val="Compact"/>
            </w:pPr>
            <w:r>
              <w:t xml:space="preserve">Декларационный, периодический</w:t>
            </w:r>
          </w:p>
        </w:tc>
      </w:tr>
      <w:tr>
        <w:tc>
          <w:tcPr/>
          <w:p>
            <w:pPr>
              <w:pStyle w:val="Compact"/>
            </w:pPr>
            <w:r>
              <w:t xml:space="preserve">Микотоксины</w:t>
            </w:r>
          </w:p>
        </w:tc>
        <w:tc>
          <w:tcPr/>
          <w:p>
            <w:pPr>
              <w:pStyle w:val="Compact"/>
            </w:pPr>
            <w:r>
              <w:t xml:space="preserve">Охратоксин A, мг/кг</w:t>
            </w:r>
          </w:p>
        </w:tc>
        <w:tc>
          <w:tcPr/>
          <w:p>
            <w:pPr>
              <w:pStyle w:val="Compact"/>
              <w:jc w:val="right"/>
            </w:pPr>
            <w:r>
              <w:t xml:space="preserve">0,005</w:t>
            </w:r>
          </w:p>
        </w:tc>
        <w:tc>
          <w:tcPr/>
          <w:p>
            <w:pPr>
              <w:pStyle w:val="Compact"/>
            </w:pPr>
            <w:r>
              <w:t xml:space="preserve">Декларационный, периодический</w:t>
            </w:r>
          </w:p>
        </w:tc>
      </w:tr>
      <w:tr>
        <w:tc>
          <w:tcPr/>
          <w:p>
            <w:pPr>
              <w:pStyle w:val="Compact"/>
            </w:pPr>
            <w:r>
              <w:t xml:space="preserve">Пестициды</w:t>
            </w:r>
          </w:p>
        </w:tc>
        <w:tc>
          <w:tcPr/>
          <w:p>
            <w:pPr>
              <w:pStyle w:val="Compact"/>
            </w:pPr>
            <w:r>
              <w:t xml:space="preserve">ГХЦГ, сумма изомеров, мг/кг</w:t>
            </w:r>
          </w:p>
        </w:tc>
        <w:tc>
          <w:tcPr/>
          <w:p>
            <w:pPr>
              <w:pStyle w:val="Compact"/>
              <w:jc w:val="right"/>
            </w:pPr>
            <w:r>
              <w:t xml:space="preserve">0,2</w:t>
            </w:r>
          </w:p>
        </w:tc>
        <w:tc>
          <w:tcPr/>
          <w:p>
            <w:pPr>
              <w:pStyle w:val="Compact"/>
            </w:pPr>
            <w:r>
              <w:t xml:space="preserve">Декларационный, периодический</w:t>
            </w:r>
          </w:p>
        </w:tc>
      </w:tr>
      <w:tr>
        <w:tc>
          <w:tcPr/>
          <w:p>
            <w:pPr>
              <w:pStyle w:val="Compact"/>
            </w:pPr>
            <w:r>
              <w:t xml:space="preserve">Пестициды</w:t>
            </w:r>
          </w:p>
        </w:tc>
        <w:tc>
          <w:tcPr/>
          <w:p>
            <w:pPr>
              <w:pStyle w:val="Compact"/>
            </w:pPr>
            <w:r>
              <w:t xml:space="preserve">ДДТ и его метаболиты, мг/кг</w:t>
            </w:r>
          </w:p>
        </w:tc>
        <w:tc>
          <w:tcPr/>
          <w:p>
            <w:pPr>
              <w:pStyle w:val="Compact"/>
              <w:jc w:val="right"/>
            </w:pPr>
            <w:r>
              <w:t xml:space="preserve">0,4</w:t>
            </w:r>
          </w:p>
        </w:tc>
        <w:tc>
          <w:tcPr/>
          <w:p>
            <w:pPr>
              <w:pStyle w:val="Compact"/>
            </w:pPr>
            <w:r>
              <w:t xml:space="preserve">Декларационный, периодический</w:t>
            </w:r>
          </w:p>
        </w:tc>
      </w:tr>
      <w:tr>
        <w:tc>
          <w:tcPr/>
          <w:p>
            <w:pPr>
              <w:pStyle w:val="Compact"/>
            </w:pPr>
            <w:r>
              <w:t xml:space="preserve">Пестициды</w:t>
            </w:r>
          </w:p>
        </w:tc>
        <w:tc>
          <w:tcPr/>
          <w:p>
            <w:pPr>
              <w:pStyle w:val="Compact"/>
            </w:pPr>
            <w:r>
              <w:t xml:space="preserve">Алдрин</w:t>
            </w:r>
          </w:p>
        </w:tc>
        <w:tc>
          <w:tcPr/>
          <w:p>
            <w:pPr>
              <w:pStyle w:val="Compact"/>
              <w:jc w:val="right"/>
            </w:pPr>
            <w:r>
              <w:t xml:space="preserve">Не допускается</w:t>
            </w:r>
          </w:p>
        </w:tc>
        <w:tc>
          <w:tcPr/>
          <w:p>
            <w:pPr>
              <w:pStyle w:val="Compact"/>
            </w:pPr>
            <w:r>
              <w:t xml:space="preserve">Декларационный или периодический</w:t>
            </w:r>
          </w:p>
        </w:tc>
      </w:tr>
      <w:tr>
        <w:tc>
          <w:tcPr/>
          <w:p>
            <w:pPr>
              <w:pStyle w:val="Compact"/>
            </w:pPr>
            <w:r>
              <w:t xml:space="preserve">Пестициды</w:t>
            </w:r>
          </w:p>
        </w:tc>
        <w:tc>
          <w:tcPr/>
          <w:p>
            <w:pPr>
              <w:pStyle w:val="Compact"/>
            </w:pPr>
            <w:r>
              <w:t xml:space="preserve">Гептахлор</w:t>
            </w:r>
          </w:p>
        </w:tc>
        <w:tc>
          <w:tcPr/>
          <w:p>
            <w:pPr>
              <w:pStyle w:val="Compact"/>
              <w:jc w:val="right"/>
            </w:pPr>
            <w:r>
              <w:t xml:space="preserve">Не допускается</w:t>
            </w:r>
          </w:p>
        </w:tc>
        <w:tc>
          <w:tcPr/>
          <w:p>
            <w:pPr>
              <w:pStyle w:val="Compact"/>
            </w:pPr>
            <w:r>
              <w:t xml:space="preserve">Декларационный или периодический</w:t>
            </w:r>
          </w:p>
        </w:tc>
      </w:tr>
      <w:tr>
        <w:tc>
          <w:tcPr/>
          <w:p>
            <w:pPr>
              <w:pStyle w:val="Compact"/>
            </w:pPr>
            <w:r>
              <w:t xml:space="preserve">Радиологические показатели</w:t>
            </w:r>
          </w:p>
        </w:tc>
        <w:tc>
          <w:tcPr/>
          <w:p>
            <w:pPr>
              <w:pStyle w:val="Compact"/>
            </w:pPr>
            <w:r>
              <w:t xml:space="preserve">Цезий-134 и цезий-137</w:t>
            </w:r>
          </w:p>
        </w:tc>
        <w:tc>
          <w:tcPr/>
          <w:p>
            <w:pPr>
              <w:pStyle w:val="Compact"/>
              <w:jc w:val="right"/>
            </w:pPr>
            <w:r>
              <w:t xml:space="preserve">Не более 600 Бк/кг</w:t>
            </w:r>
          </w:p>
        </w:tc>
        <w:tc>
          <w:tcPr/>
          <w:p>
            <w:pPr>
              <w:pStyle w:val="Compact"/>
            </w:pPr>
            <w:r>
              <w:t xml:space="preserve">Декларационный, периодический</w:t>
            </w:r>
          </w:p>
        </w:tc>
      </w:tr>
      <w:tr>
        <w:tc>
          <w:tcPr/>
          <w:p>
            <w:pPr>
              <w:pStyle w:val="Compact"/>
            </w:pPr>
            <w:r>
              <w:t xml:space="preserve">ГМО</w:t>
            </w:r>
          </w:p>
        </w:tc>
        <w:tc>
          <w:tcPr/>
          <w:p>
            <w:pPr>
              <w:pStyle w:val="Compact"/>
            </w:pPr>
            <w:r>
              <w:t xml:space="preserve">ГМО-компоненты</w:t>
            </w:r>
          </w:p>
        </w:tc>
        <w:tc>
          <w:tcPr/>
          <w:p>
            <w:pPr>
              <w:pStyle w:val="Compact"/>
              <w:jc w:val="right"/>
            </w:pPr>
            <w:r>
              <w:t xml:space="preserve">Контролируются при необходимости, по требованиям законодательства, покупателя или органа по подтверждению соответствия</w:t>
            </w:r>
          </w:p>
        </w:tc>
        <w:tc>
          <w:tcPr/>
          <w:p>
            <w:pPr>
              <w:pStyle w:val="Compact"/>
            </w:pPr>
            <w:r>
              <w:t xml:space="preserve">Декларационный, периодический или договорной</w:t>
            </w:r>
          </w:p>
        </w:tc>
      </w:tr>
      <w:tr>
        <w:tc>
          <w:tcPr/>
          <w:p>
            <w:pPr>
              <w:pStyle w:val="Compact"/>
            </w:pPr>
            <w:r>
              <w:t xml:space="preserve">Окислительная порча жира</w:t>
            </w:r>
          </w:p>
        </w:tc>
        <w:tc>
          <w:tcPr/>
          <w:p>
            <w:pPr>
              <w:pStyle w:val="Compact"/>
            </w:pPr>
            <w:r>
              <w:t xml:space="preserve">Перекиси / перекисное число жира</w:t>
            </w:r>
          </w:p>
        </w:tc>
        <w:tc>
          <w:tcPr/>
          <w:p>
            <w:pPr>
              <w:pStyle w:val="Compact"/>
              <w:jc w:val="right"/>
            </w:pPr>
            <w:r>
              <w:t xml:space="preserve">В соответствии со спецификацией, договором поставки или программой контроля изготовителя</w:t>
            </w:r>
          </w:p>
        </w:tc>
        <w:tc>
          <w:tcPr/>
          <w:p>
            <w:pPr>
              <w:pStyle w:val="Compact"/>
            </w:pPr>
            <w:r>
              <w:t xml:space="preserve">Декларационный, периодический</w:t>
            </w:r>
          </w:p>
        </w:tc>
      </w:tr>
      <w:tr>
        <w:tc>
          <w:tcPr/>
          <w:p>
            <w:pPr>
              <w:pStyle w:val="Compact"/>
            </w:pPr>
            <w:r>
              <w:t xml:space="preserve">Окислительная порча жира</w:t>
            </w:r>
          </w:p>
        </w:tc>
        <w:tc>
          <w:tcPr/>
          <w:p>
            <w:pPr>
              <w:pStyle w:val="Compact"/>
            </w:pPr>
            <w:r>
              <w:t xml:space="preserve">Кислотное число жира</w:t>
            </w:r>
          </w:p>
        </w:tc>
        <w:tc>
          <w:tcPr/>
          <w:p>
            <w:pPr>
              <w:pStyle w:val="Compact"/>
              <w:jc w:val="right"/>
            </w:pPr>
            <w:r>
              <w:t xml:space="preserve">Справочно или по норме, установленной изготовителем после накопления данных стабильности</w:t>
            </w:r>
          </w:p>
        </w:tc>
        <w:tc>
          <w:tcPr/>
          <w:p>
            <w:pPr>
              <w:pStyle w:val="Compact"/>
            </w:pPr>
            <w:r>
              <w:t xml:space="preserve">Периодический или договорной</w:t>
            </w:r>
          </w:p>
        </w:tc>
      </w:tr>
    </w:tbl>
    <w:p>
      <w:pPr>
        <w:pStyle w:val="BodyText"/>
      </w:pPr>
      <w:r>
        <w:t xml:space="preserve">9.6. Указанные в таблице 3 показатели безопасности контролируются при первичном подтверждении соответствия, а в дальнейшем — по программе производственного контроля, при смене сырьевой базы, при изменении технологии, при возникновении риска, при претензиях или по требованию покупателя.</w:t>
      </w:r>
    </w:p>
    <w:p>
      <w:pPr>
        <w:pStyle w:val="BodyText"/>
      </w:pPr>
      <w:r>
        <w:t xml:space="preserve">9.7. Контроль микотоксинов установлен с учётом наличия зернового компонента. Контроль микотоксинов каждой партии готового продукта не является обязательным, если иное не предусмотрено законодательством, договором поставки, программой производственного контроля или требованиями органа по подтверждению соответствия.</w:t>
      </w:r>
    </w:p>
    <w:p>
      <w:pPr>
        <w:pStyle w:val="BodyText"/>
      </w:pPr>
      <w:r>
        <w:t xml:space="preserve">9.8. Контроль пестицидов проводится с учётом информации о применении пестицидов при производстве, хранении и транспортировании сырья, а также по программе производственного контроля.</w:t>
      </w:r>
    </w:p>
    <w:p>
      <w:pPr>
        <w:pStyle w:val="BodyText"/>
      </w:pPr>
      <w:r>
        <w:t xml:space="preserve">9.9. При первичном подтверждении соответствия перечень испытаний может быть шире, чем перечень регулярного производственного контроля.</w:t>
      </w:r>
    </w:p>
    <w:p>
      <w:pPr>
        <w:pStyle w:val="BodyText"/>
      </w:pPr>
      <w:r>
        <w:t xml:space="preserve">9.10. При изменении сырья, поставщика основного сырья, технологии, условий хранения, выявлении несоответствий или поступлении обоснованной претензии проводится внеочередной контроль по показателям, соответствующим характеру риска.</w:t>
      </w:r>
    </w:p>
    <w:p>
      <w:pPr>
        <w:pStyle w:val="BodyText"/>
      </w:pPr>
      <w:r>
        <w:t xml:space="preserve">9.11. Методы испытаний показателей безопасности определяются действующими нормативными документами и аттестованными методиками, применяемыми аккредитованной лабораторией.</w:t>
      </w:r>
    </w:p>
    <w:p>
      <w:r>
        <w:pict>
          <v:rect style="width:0;height:1.5pt" o:hralign="center" o:hrstd="t" o:hr="t"/>
        </w:pict>
      </w:r>
    </w:p>
    <w:bookmarkEnd w:id="34"/>
    <w:bookmarkStart w:id="35" w:name="упаковка"/>
    <w:p>
      <w:pPr>
        <w:pStyle w:val="Heading1"/>
      </w:pPr>
      <w:r>
        <w:t xml:space="preserve">10. Упаковка</w:t>
      </w:r>
    </w:p>
    <w:p>
      <w:pPr>
        <w:pStyle w:val="FirstParagraph"/>
      </w:pPr>
      <w:r>
        <w:t xml:space="preserve">10.1. Продукт упаковывают в потребительскую, групповую или транспортную упаковку, обеспечивающую сохранность качества и безопасности продукта в течение установленного срока годности.</w:t>
      </w:r>
    </w:p>
    <w:p>
      <w:pPr>
        <w:pStyle w:val="BodyText"/>
      </w:pPr>
      <w:r>
        <w:t xml:space="preserve">10.2. Упаковка должна соответствовать требованиям ТР ТС 005/2011 «О безопасности упаковки» и иным применимым требованиям действующего законодательства.</w:t>
      </w:r>
    </w:p>
    <w:p>
      <w:pPr>
        <w:pStyle w:val="BodyText"/>
      </w:pPr>
      <w:r>
        <w:t xml:space="preserve">10.3. Упаковка должна быть чистой, сухой, прочной, неповреждённой, не иметь постороннего запаха и обеспечивать защиту продукта от:</w:t>
      </w:r>
    </w:p>
    <w:p>
      <w:pPr>
        <w:pStyle w:val="BodyText"/>
      </w:pPr>
      <w:r>
        <w:t xml:space="preserve">увлажнения;</w:t>
      </w:r>
    </w:p>
    <w:p>
      <w:pPr>
        <w:pStyle w:val="BodyText"/>
      </w:pPr>
      <w:r>
        <w:t xml:space="preserve">загрязнения;</w:t>
      </w:r>
    </w:p>
    <w:p>
      <w:pPr>
        <w:pStyle w:val="BodyText"/>
      </w:pPr>
      <w:r>
        <w:t xml:space="preserve">посторонних запахов;</w:t>
      </w:r>
    </w:p>
    <w:p>
      <w:pPr>
        <w:pStyle w:val="BodyText"/>
      </w:pPr>
      <w:r>
        <w:t xml:space="preserve">просыпания;</w:t>
      </w:r>
    </w:p>
    <w:p>
      <w:pPr>
        <w:pStyle w:val="BodyText"/>
      </w:pPr>
      <w:r>
        <w:t xml:space="preserve">заражения вредителями;</w:t>
      </w:r>
    </w:p>
    <w:p>
      <w:pPr>
        <w:pStyle w:val="BodyText"/>
      </w:pPr>
      <w:r>
        <w:t xml:space="preserve">механического повреждения при обычных условиях транспортирования и хранения.</w:t>
      </w:r>
    </w:p>
    <w:p>
      <w:pPr>
        <w:pStyle w:val="BodyText"/>
      </w:pPr>
      <w:r>
        <w:t xml:space="preserve">10.4. Упаковка не должна вступать во взаимодействие с продуктом, приводящее к ухудшению его качества или безопасности.</w:t>
      </w:r>
    </w:p>
    <w:p>
      <w:pPr>
        <w:pStyle w:val="BodyText"/>
      </w:pPr>
      <w:r>
        <w:t xml:space="preserve">10.5. Допускается применение следующих видов упаковки:</w:t>
      </w:r>
    </w:p>
    <w:p>
      <w:pPr>
        <w:pStyle w:val="BodyText"/>
      </w:pPr>
      <w:r>
        <w:t xml:space="preserve">полимерная потребительская упаковка;</w:t>
      </w:r>
    </w:p>
    <w:p>
      <w:pPr>
        <w:pStyle w:val="BodyText"/>
      </w:pPr>
      <w:r>
        <w:t xml:space="preserve">пакеты типа дойпак;</w:t>
      </w:r>
    </w:p>
    <w:p>
      <w:pPr>
        <w:pStyle w:val="BodyText"/>
      </w:pPr>
      <w:r>
        <w:t xml:space="preserve">полипропиленовые мешки;</w:t>
      </w:r>
    </w:p>
    <w:p>
      <w:pPr>
        <w:pStyle w:val="BodyText"/>
      </w:pPr>
      <w:r>
        <w:t xml:space="preserve">многослойные мешки;</w:t>
      </w:r>
    </w:p>
    <w:p>
      <w:pPr>
        <w:pStyle w:val="BodyText"/>
      </w:pPr>
      <w:r>
        <w:t xml:space="preserve">мешки-вкладыши;</w:t>
      </w:r>
    </w:p>
    <w:p>
      <w:pPr>
        <w:pStyle w:val="BodyText"/>
      </w:pPr>
      <w:r>
        <w:t xml:space="preserve">транспортная тара;</w:t>
      </w:r>
    </w:p>
    <w:p>
      <w:pPr>
        <w:pStyle w:val="BodyText"/>
      </w:pPr>
      <w:r>
        <w:t xml:space="preserve">мягкие контейнеры;</w:t>
      </w:r>
    </w:p>
    <w:p>
      <w:pPr>
        <w:pStyle w:val="BodyText"/>
      </w:pPr>
      <w:r>
        <w:t xml:space="preserve">иная упаковка, соответствующая требованиям законодательства и обеспечивающая сохранность продукта.</w:t>
      </w:r>
    </w:p>
    <w:p>
      <w:pPr>
        <w:pStyle w:val="BodyText"/>
      </w:pPr>
      <w:r>
        <w:t xml:space="preserve">10.6. Конкретный вид упаковки, масса нетто, формат фасовки и способ укупоривания устанавливаются изготовителем, договором поставки, заказом покупателя, спецификацией или технологической документацией.</w:t>
      </w:r>
    </w:p>
    <w:p>
      <w:pPr>
        <w:pStyle w:val="BodyText"/>
      </w:pPr>
      <w:r>
        <w:t xml:space="preserve">10.7. Изменение вида упаковки, массы фасовки или формата поставки не требует внесения изменений в настоящие технические условия, если новая упаковка соответствует установленным требованиям и обеспечивает сохранность продукта.</w:t>
      </w:r>
    </w:p>
    <w:p>
      <w:r>
        <w:pict>
          <v:rect style="width:0;height:1.5pt" o:hralign="center" o:hrstd="t" o:hr="t"/>
        </w:pict>
      </w:r>
    </w:p>
    <w:bookmarkEnd w:id="35"/>
    <w:bookmarkStart w:id="36" w:name="маркировка"/>
    <w:p>
      <w:pPr>
        <w:pStyle w:val="Heading1"/>
      </w:pPr>
      <w:r>
        <w:t xml:space="preserve">11. Маркировка</w:t>
      </w:r>
    </w:p>
    <w:p>
      <w:pPr>
        <w:pStyle w:val="FirstParagraph"/>
      </w:pPr>
      <w:r>
        <w:t xml:space="preserve">11.1. Маркировка наносится непосредственно на упаковку, этикетку, ярлык, стикер или иным способом, обеспечивающим идентификацию продукта и партии.</w:t>
      </w:r>
    </w:p>
    <w:p>
      <w:pPr>
        <w:pStyle w:val="BodyText"/>
      </w:pPr>
      <w:r>
        <w:t xml:space="preserve">11.2. Маркировка должна быть чёткой, читаемой и сохраняться в течение срока годности продукта при соблюдении условий хранения и транспортирования.</w:t>
      </w:r>
    </w:p>
    <w:p>
      <w:pPr>
        <w:pStyle w:val="BodyText"/>
      </w:pPr>
      <w:r>
        <w:t xml:space="preserve">11.3. Маркировка должна содержать:</w:t>
      </w:r>
    </w:p>
    <w:p>
      <w:pPr>
        <w:pStyle w:val="BodyText"/>
      </w:pPr>
      <w:r>
        <w:t xml:space="preserve">наименование продукта: «Кормовой белковый продукт</w:t>
      </w:r>
      <w:r>
        <w:t xml:space="preserve"> </w:t>
      </w:r>
      <w:r>
        <w:t xml:space="preserve">“ГерметияВит”</w:t>
      </w:r>
      <w:r>
        <w:t xml:space="preserve">»;</w:t>
      </w:r>
    </w:p>
    <w:p>
      <w:pPr>
        <w:pStyle w:val="BodyText"/>
      </w:pPr>
      <w:r>
        <w:t xml:space="preserve">назначение продукта;</w:t>
      </w:r>
    </w:p>
    <w:p>
      <w:pPr>
        <w:pStyle w:val="BodyText"/>
      </w:pPr>
      <w:r>
        <w:t xml:space="preserve">слова «для кормовых целей»;</w:t>
      </w:r>
    </w:p>
    <w:p>
      <w:pPr>
        <w:pStyle w:val="BodyText"/>
      </w:pPr>
      <w:r>
        <w:t xml:space="preserve">наименование и адрес изготовителя;</w:t>
      </w:r>
    </w:p>
    <w:p>
      <w:pPr>
        <w:pStyle w:val="BodyText"/>
      </w:pPr>
      <w:r>
        <w:t xml:space="preserve">товарный знак, при наличии;</w:t>
      </w:r>
    </w:p>
    <w:p>
      <w:pPr>
        <w:pStyle w:val="BodyText"/>
      </w:pPr>
      <w:r>
        <w:t xml:space="preserve">номер партии;</w:t>
      </w:r>
    </w:p>
    <w:p>
      <w:pPr>
        <w:pStyle w:val="BodyText"/>
      </w:pPr>
      <w:r>
        <w:t xml:space="preserve">дату изготовления;</w:t>
      </w:r>
    </w:p>
    <w:p>
      <w:pPr>
        <w:pStyle w:val="BodyText"/>
      </w:pPr>
      <w:r>
        <w:t xml:space="preserve">массу нетто;</w:t>
      </w:r>
    </w:p>
    <w:p>
      <w:pPr>
        <w:pStyle w:val="BodyText"/>
      </w:pPr>
      <w:r>
        <w:t xml:space="preserve">срок годности;</w:t>
      </w:r>
    </w:p>
    <w:p>
      <w:pPr>
        <w:pStyle w:val="BodyText"/>
      </w:pPr>
      <w:r>
        <w:t xml:space="preserve">условия хранения;</w:t>
      </w:r>
    </w:p>
    <w:p>
      <w:pPr>
        <w:pStyle w:val="BodyText"/>
      </w:pPr>
      <w:r>
        <w:t xml:space="preserve">обозначение настоящих технических условий;</w:t>
      </w:r>
    </w:p>
    <w:p>
      <w:pPr>
        <w:pStyle w:val="BodyText"/>
      </w:pPr>
      <w:r>
        <w:t xml:space="preserve">сведения о применении;</w:t>
      </w:r>
    </w:p>
    <w:p>
      <w:pPr>
        <w:pStyle w:val="BodyText"/>
      </w:pPr>
      <w:r>
        <w:t xml:space="preserve">информацию о документах, подтверждающих качество и безопасность, если применимо;</w:t>
      </w:r>
    </w:p>
    <w:p>
      <w:pPr>
        <w:pStyle w:val="BodyText"/>
      </w:pPr>
      <w:r>
        <w:t xml:space="preserve">единый знак обращения продукции на рынке ЕАЭС, если его нанесение требуется по результатам процедуры подтверждения соответствия;</w:t>
      </w:r>
    </w:p>
    <w:p>
      <w:pPr>
        <w:pStyle w:val="BodyText"/>
      </w:pPr>
      <w:r>
        <w:t xml:space="preserve">иную обязательную информацию, установленную законодательством.</w:t>
      </w:r>
    </w:p>
    <w:p>
      <w:pPr>
        <w:pStyle w:val="BodyText"/>
      </w:pPr>
      <w:r>
        <w:t xml:space="preserve">11.4. Рекомендуемая формулировка назначения для маркировки:</w:t>
      </w:r>
    </w:p>
    <w:p>
      <w:pPr>
        <w:pStyle w:val="BodyText"/>
      </w:pPr>
      <w:r>
        <w:t xml:space="preserve">«Предназначен для использования при производстве комбикормов и кормовых смесей в качестве кормового белкового компонента — источника сырого протеина в составе рецептур комбикормов и кормовых смесей».</w:t>
      </w:r>
    </w:p>
    <w:p>
      <w:pPr>
        <w:pStyle w:val="BodyText"/>
      </w:pPr>
      <w:r>
        <w:t xml:space="preserve">11.5. В маркировке, паспорте качества, спецификации, сопроводительной документации и информационных материалах на продукт не допускается использование формулировок, заявляющих лечебные, профилактические, фармакологические, иммуномодулирующие или иные специальные функциональные свойства продукта.</w:t>
      </w:r>
    </w:p>
    <w:p>
      <w:pPr>
        <w:pStyle w:val="BodyText"/>
      </w:pPr>
      <w:r>
        <w:t xml:space="preserve">11.6. Не допускается использовать следующие формулировки:</w:t>
      </w:r>
    </w:p>
    <w:p>
      <w:pPr>
        <w:pStyle w:val="BodyText"/>
      </w:pPr>
      <w:r>
        <w:t xml:space="preserve">«лечебный»;</w:t>
      </w:r>
    </w:p>
    <w:p>
      <w:pPr>
        <w:pStyle w:val="BodyText"/>
      </w:pPr>
      <w:r>
        <w:t xml:space="preserve">«профилактический»;</w:t>
      </w:r>
    </w:p>
    <w:p>
      <w:pPr>
        <w:pStyle w:val="BodyText"/>
      </w:pPr>
      <w:r>
        <w:t xml:space="preserve">«лечебно-профилактический»;</w:t>
      </w:r>
    </w:p>
    <w:p>
      <w:pPr>
        <w:pStyle w:val="BodyText"/>
      </w:pPr>
      <w:r>
        <w:t xml:space="preserve">«иммуномодулирующий»;</w:t>
      </w:r>
    </w:p>
    <w:p>
      <w:pPr>
        <w:pStyle w:val="BodyText"/>
      </w:pPr>
      <w:r>
        <w:t xml:space="preserve">«стимулирует рост»;</w:t>
      </w:r>
    </w:p>
    <w:p>
      <w:pPr>
        <w:pStyle w:val="BodyText"/>
      </w:pPr>
      <w:r>
        <w:t xml:space="preserve">«повышает продуктивность»;</w:t>
      </w:r>
    </w:p>
    <w:p>
      <w:pPr>
        <w:pStyle w:val="BodyText"/>
      </w:pPr>
      <w:r>
        <w:t xml:space="preserve">«улучшает усвоение питательных веществ»;</w:t>
      </w:r>
    </w:p>
    <w:p>
      <w:pPr>
        <w:pStyle w:val="BodyText"/>
      </w:pPr>
      <w:r>
        <w:t xml:space="preserve">«нормализует обмен веществ»;</w:t>
      </w:r>
    </w:p>
    <w:p>
      <w:pPr>
        <w:pStyle w:val="BodyText"/>
      </w:pPr>
      <w:r>
        <w:t xml:space="preserve">«снижает заболеваемость»;</w:t>
      </w:r>
    </w:p>
    <w:p>
      <w:pPr>
        <w:pStyle w:val="BodyText"/>
      </w:pPr>
      <w:r>
        <w:t xml:space="preserve">«снижает кормовой коэффициент»;</w:t>
      </w:r>
    </w:p>
    <w:p>
      <w:pPr>
        <w:pStyle w:val="BodyText"/>
      </w:pPr>
      <w:r>
        <w:t xml:space="preserve">«повышает иммунитет»;</w:t>
      </w:r>
    </w:p>
    <w:p>
      <w:pPr>
        <w:pStyle w:val="BodyText"/>
      </w:pPr>
      <w:r>
        <w:t xml:space="preserve">иные аналогичные формулировки, способные изменить регуляторное восприятие продукта.</w:t>
      </w:r>
    </w:p>
    <w:p>
      <w:pPr>
        <w:pStyle w:val="BodyText"/>
      </w:pPr>
      <w:r>
        <w:t xml:space="preserve">11.7. Допускается указывать сведения о составе в общей форме без раскрытия точного соотношения компонентов:</w:t>
      </w:r>
    </w:p>
    <w:p>
      <w:pPr>
        <w:pStyle w:val="BodyText"/>
      </w:pPr>
      <w:r>
        <w:t xml:space="preserve">«Состав: продукт из высушенных личинок Hermetia illucens, дроблёное зерно пшеницы».</w:t>
      </w:r>
    </w:p>
    <w:p>
      <w:pPr>
        <w:pStyle w:val="BodyText"/>
      </w:pPr>
      <w:r>
        <w:t xml:space="preserve">11.8. Точное процентное содержание компонентов, рецептура и технологические параметры производства на маркировке не указываются.</w:t>
      </w:r>
    </w:p>
    <w:p>
      <w:r>
        <w:pict>
          <v:rect style="width:0;height:1.5pt" o:hralign="center" o:hrstd="t" o:hr="t"/>
        </w:pict>
      </w:r>
    </w:p>
    <w:bookmarkEnd w:id="36"/>
    <w:bookmarkStart w:id="37" w:name="транспортирование-и-хранение"/>
    <w:p>
      <w:pPr>
        <w:pStyle w:val="Heading1"/>
      </w:pPr>
      <w:r>
        <w:t xml:space="preserve">12. Транспортирование и хранение</w:t>
      </w:r>
    </w:p>
    <w:p>
      <w:pPr>
        <w:pStyle w:val="FirstParagraph"/>
      </w:pPr>
      <w:r>
        <w:t xml:space="preserve">12.1. Продукт транспортируют всеми видами транспорта в соответствии с правилами перевозки грузов, действующими на соответствующем виде транспорта, при условии защиты продукции от атмосферных осадков, увлажнения, загрязнения, посторонних запахов, вредителей и механического повреждения упаковки.</w:t>
      </w:r>
    </w:p>
    <w:p>
      <w:pPr>
        <w:pStyle w:val="BodyText"/>
      </w:pPr>
      <w:r>
        <w:t xml:space="preserve">12.2. Транспортные средства должны быть чистыми, сухими, без посторонних запахов и не должны использоваться одновременно с токсичными, химически активными, опасными, сильно пахнущими или загрязняющими веществами.</w:t>
      </w:r>
    </w:p>
    <w:p>
      <w:pPr>
        <w:pStyle w:val="BodyText"/>
      </w:pPr>
      <w:r>
        <w:t xml:space="preserve">12.3. Продукт должен храниться в упакованном виде в сухих, чистых, проветриваемых складских помещениях, защищённых от атмосферных осадков, прямого солнечного света, увлажнения, загрязнения и вредителей.</w:t>
      </w:r>
    </w:p>
    <w:p>
      <w:pPr>
        <w:pStyle w:val="BodyText"/>
      </w:pPr>
      <w:r>
        <w:t xml:space="preserve">12.4. Не допускается хранение продукта совместно с токсичными, химически активными, опасными веществами, веществами с резким запахом, а также продукцией, способной загрязнить кормовой продукт или ухудшить его качество.</w:t>
      </w:r>
    </w:p>
    <w:p>
      <w:pPr>
        <w:pStyle w:val="BodyText"/>
      </w:pPr>
      <w:r>
        <w:t xml:space="preserve">12.5. Хранение продукта осуществляется при обычных складских условиях, исключающих увлажнение, перегрев, воздействие прямого солнечного света и нарушение целостности упаковки.</w:t>
      </w:r>
    </w:p>
    <w:p>
      <w:pPr>
        <w:pStyle w:val="BodyText"/>
      </w:pPr>
      <w:r>
        <w:t xml:space="preserve">12.6. Рекомендуемый температурный режим хранения: не выше 25 °C.</w:t>
      </w:r>
    </w:p>
    <w:p>
      <w:pPr>
        <w:pStyle w:val="BodyText"/>
      </w:pPr>
      <w:r>
        <w:t xml:space="preserve">12.7. Срок годности продукта — 6 месяцев с даты изготовления при соблюдении условий хранения и целостности упаковки.</w:t>
      </w:r>
    </w:p>
    <w:p>
      <w:pPr>
        <w:pStyle w:val="BodyText"/>
      </w:pPr>
      <w:r>
        <w:t xml:space="preserve">12.8. Установление срока годности более 6 месяцев допускается изготовителем после получения данных, подтверждающих стабильность продукта в течение заявленного срока хранения, включая показатели влаги, органолептического состояния, микробиологической безопасности и, при необходимости, показатели окислительной порчи жиров.</w:t>
      </w:r>
    </w:p>
    <w:p>
      <w:pPr>
        <w:pStyle w:val="BodyText"/>
      </w:pPr>
      <w:r>
        <w:t xml:space="preserve">12.9. После вскрытия потребительской упаковки продукт рекомендуется использовать в срок, установленный изготовителем в сопроводительной документации или на маркировке, при условии хранения в закрытой таре, защищённой от влаги и загрязнения.</w:t>
      </w:r>
    </w:p>
    <w:p>
      <w:r>
        <w:pict>
          <v:rect style="width:0;height:1.5pt" o:hralign="center" o:hrstd="t" o:hr="t"/>
        </w:pict>
      </w:r>
    </w:p>
    <w:bookmarkEnd w:id="37"/>
    <w:bookmarkStart w:id="38" w:name="правила-приёмки"/>
    <w:p>
      <w:pPr>
        <w:pStyle w:val="Heading1"/>
      </w:pPr>
      <w:r>
        <w:t xml:space="preserve">13. Правила приёмки</w:t>
      </w:r>
    </w:p>
    <w:p>
      <w:pPr>
        <w:pStyle w:val="FirstParagraph"/>
      </w:pPr>
      <w:r>
        <w:t xml:space="preserve">13.1. Продукт принимают партиями.</w:t>
      </w:r>
    </w:p>
    <w:p>
      <w:pPr>
        <w:pStyle w:val="BodyText"/>
      </w:pPr>
      <w:r>
        <w:t xml:space="preserve">13.2. Каждая партия должна сопровождаться паспортом качества партии.</w:t>
      </w:r>
    </w:p>
    <w:p>
      <w:pPr>
        <w:pStyle w:val="BodyText"/>
      </w:pPr>
      <w:r>
        <w:t xml:space="preserve">13.3. Для партии должны быть установлены:</w:t>
      </w:r>
    </w:p>
    <w:p>
      <w:pPr>
        <w:pStyle w:val="BodyText"/>
      </w:pPr>
      <w:r>
        <w:t xml:space="preserve">номер партии;</w:t>
      </w:r>
    </w:p>
    <w:p>
      <w:pPr>
        <w:pStyle w:val="BodyText"/>
      </w:pPr>
      <w:r>
        <w:t xml:space="preserve">дата начала формирования партии;</w:t>
      </w:r>
    </w:p>
    <w:p>
      <w:pPr>
        <w:pStyle w:val="BodyText"/>
      </w:pPr>
      <w:r>
        <w:t xml:space="preserve">дата окончания формирования партии;</w:t>
      </w:r>
    </w:p>
    <w:p>
      <w:pPr>
        <w:pStyle w:val="BodyText"/>
      </w:pPr>
      <w:r>
        <w:t xml:space="preserve">масса партии;</w:t>
      </w:r>
    </w:p>
    <w:p>
      <w:pPr>
        <w:pStyle w:val="BodyText"/>
      </w:pPr>
      <w:r>
        <w:t xml:space="preserve">сведения о результатах контроля;</w:t>
      </w:r>
    </w:p>
    <w:p>
      <w:pPr>
        <w:pStyle w:val="BodyText"/>
      </w:pPr>
      <w:r>
        <w:t xml:space="preserve">сведения о виде упаковки и фасовки;</w:t>
      </w:r>
    </w:p>
    <w:p>
      <w:pPr>
        <w:pStyle w:val="BodyText"/>
      </w:pPr>
      <w:r>
        <w:t xml:space="preserve">сведения об ответственном лице, выпустившем партию.</w:t>
      </w:r>
    </w:p>
    <w:p>
      <w:pPr>
        <w:pStyle w:val="BodyText"/>
      </w:pPr>
      <w:r>
        <w:t xml:space="preserve">13.4. Партией считается количество кормового белкового продукта одного наименования, изготовленное при неизменных существенных условиях производства, из сырья, прошедшего входной контроль, за установленный период времени и сопровождаемое одним паспортом качества.</w:t>
      </w:r>
    </w:p>
    <w:p>
      <w:pPr>
        <w:pStyle w:val="BodyText"/>
      </w:pPr>
      <w:r>
        <w:t xml:space="preserve">13.5. С учётом непрерывного характера производства максимальный период формирования одной партии может составлять до одного календарного квартала.</w:t>
      </w:r>
    </w:p>
    <w:p>
      <w:pPr>
        <w:pStyle w:val="BodyText"/>
      </w:pPr>
      <w:r>
        <w:t xml:space="preserve">13.6. Формирование партии в течение календарного квартала является максимальным пределом и допускается при одновременном соблюдении следующих условий:</w:t>
      </w:r>
    </w:p>
    <w:p>
      <w:pPr>
        <w:pStyle w:val="BodyText"/>
      </w:pPr>
      <w:r>
        <w:t xml:space="preserve">продукт изготавливается в пределах утверждённых изготовителем требований к качеству и безопасности;</w:t>
      </w:r>
    </w:p>
    <w:p>
      <w:pPr>
        <w:pStyle w:val="BodyText"/>
      </w:pPr>
      <w:r>
        <w:t xml:space="preserve">производство ведётся на одной производственной площадке;</w:t>
      </w:r>
    </w:p>
    <w:p>
      <w:pPr>
        <w:pStyle w:val="BodyText"/>
      </w:pPr>
      <w:r>
        <w:t xml:space="preserve">существенные условия производства не изменяются;</w:t>
      </w:r>
    </w:p>
    <w:p>
      <w:pPr>
        <w:pStyle w:val="BodyText"/>
      </w:pPr>
      <w:r>
        <w:t xml:space="preserve">используемое сырьё проходит входной контроль;</w:t>
      </w:r>
    </w:p>
    <w:p>
      <w:pPr>
        <w:pStyle w:val="BodyText"/>
      </w:pPr>
      <w:r>
        <w:t xml:space="preserve">обеспечивается прослеживаемость сырья, даты выпуска, объёма выпуска и условий производства;</w:t>
      </w:r>
    </w:p>
    <w:p>
      <w:pPr>
        <w:pStyle w:val="BodyText"/>
      </w:pPr>
      <w:r>
        <w:t xml:space="preserve">не выявлены несоответствия, влияющие на качество или безопасность продукции;</w:t>
      </w:r>
    </w:p>
    <w:p>
      <w:pPr>
        <w:pStyle w:val="BodyText"/>
      </w:pPr>
      <w:r>
        <w:t xml:space="preserve">обеспечен отбор точечных проб в течение периода формирования партии;</w:t>
      </w:r>
    </w:p>
    <w:p>
      <w:pPr>
        <w:pStyle w:val="BodyText"/>
      </w:pPr>
      <w:r>
        <w:t xml:space="preserve">обеспечена возможность формирования объединённой пробы, репрезентативной для всей партии.</w:t>
      </w:r>
    </w:p>
    <w:p>
      <w:pPr>
        <w:pStyle w:val="BodyText"/>
      </w:pPr>
      <w:r>
        <w:t xml:space="preserve">13.7. При формировании партии более одного месяца изготовитель обеспечивает отбор точечных проб не реже одного раза в 10 календарных дней либо от каждой производственной серии/производственного периода, включаемого в партию, с последующим формированием объединённой пробы партии.</w:t>
      </w:r>
    </w:p>
    <w:p>
      <w:pPr>
        <w:pStyle w:val="BodyText"/>
      </w:pPr>
      <w:r>
        <w:t xml:space="preserve">13.8. Партия должна быть завершена до окончания календарного квартала при наступлении одного из следующих обстоятельств:</w:t>
      </w:r>
    </w:p>
    <w:p>
      <w:pPr>
        <w:pStyle w:val="BodyText"/>
      </w:pPr>
      <w:r>
        <w:t xml:space="preserve">существенное изменение качества основного сырья;</w:t>
      </w:r>
    </w:p>
    <w:p>
      <w:pPr>
        <w:pStyle w:val="BodyText"/>
      </w:pPr>
      <w:r>
        <w:t xml:space="preserve">смена поставщика основного сырья, если это влияет на качество, безопасность или прослеживаемость продукции;</w:t>
      </w:r>
    </w:p>
    <w:p>
      <w:pPr>
        <w:pStyle w:val="BodyText"/>
      </w:pPr>
      <w:r>
        <w:t xml:space="preserve">изменение технологического процесса, влияющее на качество или безопасность продукта;</w:t>
      </w:r>
    </w:p>
    <w:p>
      <w:pPr>
        <w:pStyle w:val="BodyText"/>
      </w:pPr>
      <w:r>
        <w:t xml:space="preserve">выявление несоответствия сырья или готовой продукции;</w:t>
      </w:r>
    </w:p>
    <w:p>
      <w:pPr>
        <w:pStyle w:val="BodyText"/>
      </w:pPr>
      <w:r>
        <w:t xml:space="preserve">поступление обоснованной претензии, требующей выделения продукции в отдельную партию;</w:t>
      </w:r>
    </w:p>
    <w:p>
      <w:pPr>
        <w:pStyle w:val="BodyText"/>
      </w:pPr>
      <w:r>
        <w:t xml:space="preserve">санитарная обработка, остановка или переналадка линии, после которой требуется новая идентификация партии;</w:t>
      </w:r>
    </w:p>
    <w:p>
      <w:pPr>
        <w:pStyle w:val="BodyText"/>
      </w:pPr>
      <w:r>
        <w:t xml:space="preserve">решение ответственного лица изготовителя.</w:t>
      </w:r>
    </w:p>
    <w:p>
      <w:pPr>
        <w:pStyle w:val="BodyText"/>
      </w:pPr>
      <w:r>
        <w:t xml:space="preserve">13.9. По решению изготовителя, договору поставки, требованию покупателя или требованиям программы производственного контроля партия может формироваться за меньший период: смену, сутки, неделю, декаду, месяц или иной установленный период.</w:t>
      </w:r>
    </w:p>
    <w:p>
      <w:r>
        <w:pict>
          <v:rect style="width:0;height:1.5pt" o:hralign="center" o:hrstd="t" o:hr="t"/>
        </w:pict>
      </w:r>
    </w:p>
    <w:bookmarkEnd w:id="38"/>
    <w:bookmarkStart w:id="39" w:name="виды-контроля"/>
    <w:p>
      <w:pPr>
        <w:pStyle w:val="Heading1"/>
      </w:pPr>
      <w:r>
        <w:t xml:space="preserve">14. Виды контроля</w:t>
      </w:r>
    </w:p>
    <w:p>
      <w:pPr>
        <w:pStyle w:val="FirstParagraph"/>
      </w:pPr>
      <w:r>
        <w:t xml:space="preserve">14.1. Для продукта устанавливаются следующие виды контроля:</w:t>
      </w:r>
    </w:p>
    <w:p>
      <w:pPr>
        <w:pStyle w:val="BodyText"/>
      </w:pPr>
      <w:r>
        <w:t xml:space="preserve">входной контроль сырья;</w:t>
      </w:r>
    </w:p>
    <w:p>
      <w:pPr>
        <w:pStyle w:val="BodyText"/>
      </w:pPr>
      <w:r>
        <w:t xml:space="preserve">приёмо-сдаточный контроль каждой партии;</w:t>
      </w:r>
    </w:p>
    <w:p>
      <w:pPr>
        <w:pStyle w:val="BodyText"/>
      </w:pPr>
      <w:r>
        <w:t xml:space="preserve">периодический контроль;</w:t>
      </w:r>
    </w:p>
    <w:p>
      <w:pPr>
        <w:pStyle w:val="BodyText"/>
      </w:pPr>
      <w:r>
        <w:t xml:space="preserve">контроль при первичном подтверждении соответствия;</w:t>
      </w:r>
    </w:p>
    <w:p>
      <w:pPr>
        <w:pStyle w:val="BodyText"/>
      </w:pPr>
      <w:r>
        <w:t xml:space="preserve">внеочередной контроль;</w:t>
      </w:r>
    </w:p>
    <w:p>
      <w:pPr>
        <w:pStyle w:val="BodyText"/>
      </w:pPr>
      <w:r>
        <w:t xml:space="preserve">контроль по требованию покупателя.</w:t>
      </w:r>
    </w:p>
    <w:p>
      <w:pPr>
        <w:pStyle w:val="BodyText"/>
      </w:pPr>
      <w:r>
        <w:t xml:space="preserve">14.2. Приёмо-сдаточный контроль каждой партии включает:</w:t>
      </w:r>
    </w:p>
    <w:p>
      <w:pPr>
        <w:pStyle w:val="BodyText"/>
      </w:pPr>
      <w:r>
        <w:t xml:space="preserve">внешний вид;</w:t>
      </w:r>
    </w:p>
    <w:p>
      <w:pPr>
        <w:pStyle w:val="BodyText"/>
      </w:pPr>
      <w:r>
        <w:t xml:space="preserve">цвет, справочно;</w:t>
      </w:r>
    </w:p>
    <w:p>
      <w:pPr>
        <w:pStyle w:val="BodyText"/>
      </w:pPr>
      <w:r>
        <w:t xml:space="preserve">запах;</w:t>
      </w:r>
    </w:p>
    <w:p>
      <w:pPr>
        <w:pStyle w:val="BodyText"/>
      </w:pPr>
      <w:r>
        <w:t xml:space="preserve">консистенцию;</w:t>
      </w:r>
    </w:p>
    <w:p>
      <w:pPr>
        <w:pStyle w:val="BodyText"/>
      </w:pPr>
      <w:r>
        <w:t xml:space="preserve">отсутствие видимых посторонних примесей;</w:t>
      </w:r>
    </w:p>
    <w:p>
      <w:pPr>
        <w:pStyle w:val="BodyText"/>
      </w:pPr>
      <w:r>
        <w:t xml:space="preserve">отсутствие видимой плесени;</w:t>
      </w:r>
    </w:p>
    <w:p>
      <w:pPr>
        <w:pStyle w:val="BodyText"/>
      </w:pPr>
      <w:r>
        <w:t xml:space="preserve">отсутствие видимой заражённости вредителями;</w:t>
      </w:r>
    </w:p>
    <w:p>
      <w:pPr>
        <w:pStyle w:val="BodyText"/>
      </w:pPr>
      <w:r>
        <w:t xml:space="preserve">отсутствие признаков увлажнения и порчи;</w:t>
      </w:r>
    </w:p>
    <w:p>
      <w:pPr>
        <w:pStyle w:val="BodyText"/>
      </w:pPr>
      <w:r>
        <w:t xml:space="preserve">массовую долю влаги;</w:t>
      </w:r>
    </w:p>
    <w:p>
      <w:pPr>
        <w:pStyle w:val="BodyText"/>
      </w:pPr>
      <w:r>
        <w:t xml:space="preserve">массовую долю сырого протеина.</w:t>
      </w:r>
    </w:p>
    <w:p>
      <w:pPr>
        <w:pStyle w:val="BodyText"/>
      </w:pPr>
      <w:r>
        <w:t xml:space="preserve">14.3. По результатам приёмо-сдаточного контроля оформляется паспорт качества партии.</w:t>
      </w:r>
    </w:p>
    <w:p>
      <w:pPr>
        <w:pStyle w:val="BodyText"/>
      </w:pPr>
      <w:r>
        <w:t xml:space="preserve">14.4. Партия считается соответствующей настоящим техническим условиям, если результаты приёмо-сдаточного контроля соответствуют требованиям настоящих технических условий.</w:t>
      </w:r>
    </w:p>
    <w:p>
      <w:pPr>
        <w:pStyle w:val="BodyText"/>
      </w:pPr>
      <w:r>
        <w:t xml:space="preserve">14.5. Периодический контроль проводится по показателям, которые не требуют обязательной проверки каждой партии, но необходимы для подтверждения стабильности качества и безопасности продукции.</w:t>
      </w:r>
    </w:p>
    <w:p>
      <w:pPr>
        <w:pStyle w:val="BodyText"/>
      </w:pPr>
      <w:r>
        <w:t xml:space="preserve">14.6. К периодическому контролю относятся:</w:t>
      </w:r>
    </w:p>
    <w:p>
      <w:pPr>
        <w:pStyle w:val="BodyText"/>
      </w:pPr>
      <w:r>
        <w:t xml:space="preserve">массовая доля сырого жира;</w:t>
      </w:r>
    </w:p>
    <w:p>
      <w:pPr>
        <w:pStyle w:val="BodyText"/>
      </w:pPr>
      <w:r>
        <w:t xml:space="preserve">массовая доля сырой клетчатки;</w:t>
      </w:r>
    </w:p>
    <w:p>
      <w:pPr>
        <w:pStyle w:val="BodyText"/>
      </w:pPr>
      <w:r>
        <w:t xml:space="preserve">массовая доля сырой золы;</w:t>
      </w:r>
    </w:p>
    <w:p>
      <w:pPr>
        <w:pStyle w:val="BodyText"/>
      </w:pPr>
      <w:r>
        <w:t xml:space="preserve">крупность помола / фракционный состав, если применимо;</w:t>
      </w:r>
    </w:p>
    <w:p>
      <w:pPr>
        <w:pStyle w:val="BodyText"/>
      </w:pPr>
      <w:r>
        <w:t xml:space="preserve">металломагнитная примесь, если применимо;</w:t>
      </w:r>
    </w:p>
    <w:p>
      <w:pPr>
        <w:pStyle w:val="BodyText"/>
      </w:pPr>
      <w:r>
        <w:t xml:space="preserve">кальций и фосфор, если применимо;</w:t>
      </w:r>
    </w:p>
    <w:p>
      <w:pPr>
        <w:pStyle w:val="BodyText"/>
      </w:pPr>
      <w:r>
        <w:t xml:space="preserve">микробиологические показатели;</w:t>
      </w:r>
    </w:p>
    <w:p>
      <w:pPr>
        <w:pStyle w:val="BodyText"/>
      </w:pPr>
      <w:r>
        <w:t xml:space="preserve">токсичные элементы;</w:t>
      </w:r>
    </w:p>
    <w:p>
      <w:pPr>
        <w:pStyle w:val="BodyText"/>
      </w:pPr>
      <w:r>
        <w:t xml:space="preserve">микотоксины;</w:t>
      </w:r>
    </w:p>
    <w:p>
      <w:pPr>
        <w:pStyle w:val="BodyText"/>
      </w:pPr>
      <w:r>
        <w:t xml:space="preserve">пестициды;</w:t>
      </w:r>
    </w:p>
    <w:p>
      <w:pPr>
        <w:pStyle w:val="BodyText"/>
      </w:pPr>
      <w:r>
        <w:t xml:space="preserve">радиологические показатели;</w:t>
      </w:r>
    </w:p>
    <w:p>
      <w:pPr>
        <w:pStyle w:val="BodyText"/>
      </w:pPr>
      <w:r>
        <w:t xml:space="preserve">ГМО, если применимо;</w:t>
      </w:r>
    </w:p>
    <w:p>
      <w:pPr>
        <w:pStyle w:val="BodyText"/>
      </w:pPr>
      <w:r>
        <w:t xml:space="preserve">аминокислотный профиль, если он используется в спецификации или запрашивается покупателем;</w:t>
      </w:r>
    </w:p>
    <w:p>
      <w:pPr>
        <w:pStyle w:val="BodyText"/>
      </w:pPr>
      <w:r>
        <w:t xml:space="preserve">иные показатели по программе производственного контроля.</w:t>
      </w:r>
    </w:p>
    <w:p>
      <w:pPr>
        <w:pStyle w:val="BodyText"/>
      </w:pPr>
      <w:r>
        <w:t xml:space="preserve">14.7. Конкретная периодичность контроля устанавливается изготовителем с учётом стабильности сырья, стабильности технологии, объёма производства, требований покупателя, результатов предыдущих испытаний и оценки риска.</w:t>
      </w:r>
    </w:p>
    <w:p>
      <w:pPr>
        <w:pStyle w:val="BodyText"/>
      </w:pPr>
      <w:r>
        <w:t xml:space="preserve">14.8. Внеочередной контроль проводится при:</w:t>
      </w:r>
    </w:p>
    <w:p>
      <w:pPr>
        <w:pStyle w:val="BodyText"/>
      </w:pPr>
      <w:r>
        <w:t xml:space="preserve">смене поставщика основного сырья;</w:t>
      </w:r>
    </w:p>
    <w:p>
      <w:pPr>
        <w:pStyle w:val="BodyText"/>
      </w:pPr>
      <w:r>
        <w:t xml:space="preserve">существенном изменении качества сырья;</w:t>
      </w:r>
    </w:p>
    <w:p>
      <w:pPr>
        <w:pStyle w:val="BodyText"/>
      </w:pPr>
      <w:r>
        <w:t xml:space="preserve">изменении технологического процесса;</w:t>
      </w:r>
    </w:p>
    <w:p>
      <w:pPr>
        <w:pStyle w:val="BodyText"/>
      </w:pPr>
      <w:r>
        <w:t xml:space="preserve">изменении условий производства или хранения, если это может повлиять на качество или безопасность;</w:t>
      </w:r>
    </w:p>
    <w:p>
      <w:pPr>
        <w:pStyle w:val="BodyText"/>
      </w:pPr>
      <w:r>
        <w:t xml:space="preserve">выявлении несоответствия продукции;</w:t>
      </w:r>
    </w:p>
    <w:p>
      <w:pPr>
        <w:pStyle w:val="BodyText"/>
      </w:pPr>
      <w:r>
        <w:t xml:space="preserve">поступлении обоснованной претензии покупателя;</w:t>
      </w:r>
    </w:p>
    <w:p>
      <w:pPr>
        <w:pStyle w:val="BodyText"/>
      </w:pPr>
      <w:r>
        <w:t xml:space="preserve">предписании уполномоченного органа.</w:t>
      </w:r>
    </w:p>
    <w:p>
      <w:pPr>
        <w:pStyle w:val="BodyText"/>
      </w:pPr>
      <w:r>
        <w:t xml:space="preserve">14.9. По согласованию сторон могут проводиться дополнительные испытания продукции.</w:t>
      </w:r>
    </w:p>
    <w:p>
      <w:pPr>
        <w:pStyle w:val="BodyText"/>
      </w:pPr>
      <w:r>
        <w:t xml:space="preserve">14.10. К дополнительным испытаниям могут относиться:</w:t>
      </w:r>
    </w:p>
    <w:p>
      <w:pPr>
        <w:pStyle w:val="BodyText"/>
      </w:pPr>
      <w:r>
        <w:t xml:space="preserve">аминокислотный профиль;</w:t>
      </w:r>
    </w:p>
    <w:p>
      <w:pPr>
        <w:pStyle w:val="BodyText"/>
      </w:pPr>
      <w:r>
        <w:t xml:space="preserve">жирнокислотный профиль;</w:t>
      </w:r>
    </w:p>
    <w:p>
      <w:pPr>
        <w:pStyle w:val="BodyText"/>
      </w:pPr>
      <w:r>
        <w:t xml:space="preserve">минеральный состав;</w:t>
      </w:r>
    </w:p>
    <w:p>
      <w:pPr>
        <w:pStyle w:val="BodyText"/>
      </w:pPr>
      <w:r>
        <w:t xml:space="preserve">кальций;</w:t>
      </w:r>
    </w:p>
    <w:p>
      <w:pPr>
        <w:pStyle w:val="BodyText"/>
      </w:pPr>
      <w:r>
        <w:t xml:space="preserve">фосфор;</w:t>
      </w:r>
    </w:p>
    <w:p>
      <w:pPr>
        <w:pStyle w:val="BodyText"/>
      </w:pPr>
      <w:r>
        <w:t xml:space="preserve">расширенная микробиология;</w:t>
      </w:r>
    </w:p>
    <w:p>
      <w:pPr>
        <w:pStyle w:val="BodyText"/>
      </w:pPr>
      <w:r>
        <w:t xml:space="preserve">показатели окислительной порчи жира;</w:t>
      </w:r>
    </w:p>
    <w:p>
      <w:pPr>
        <w:pStyle w:val="BodyText"/>
      </w:pPr>
      <w:r>
        <w:t xml:space="preserve">дополнительные микотоксины;</w:t>
      </w:r>
    </w:p>
    <w:p>
      <w:pPr>
        <w:pStyle w:val="BodyText"/>
      </w:pPr>
      <w:r>
        <w:t xml:space="preserve">дополнительные пестициды;</w:t>
      </w:r>
    </w:p>
    <w:p>
      <w:pPr>
        <w:pStyle w:val="BodyText"/>
      </w:pPr>
      <w:r>
        <w:t xml:space="preserve">иные показатели, необходимые покупателю для рецептурной работы или внутренней системы качества.</w:t>
      </w:r>
    </w:p>
    <w:p>
      <w:pPr>
        <w:pStyle w:val="BodyText"/>
      </w:pPr>
      <w:r>
        <w:t xml:space="preserve">14.11. Расходы, порядок проведения и периодичность дополнительных испытаний устанавливаются договором поставки или отдельным соглашением сторон.</w:t>
      </w:r>
    </w:p>
    <w:p>
      <w:r>
        <w:pict>
          <v:rect style="width:0;height:1.5pt" o:hralign="center" o:hrstd="t" o:hr="t"/>
        </w:pict>
      </w:r>
    </w:p>
    <w:bookmarkEnd w:id="39"/>
    <w:bookmarkStart w:id="40" w:name="отбор-проб"/>
    <w:p>
      <w:pPr>
        <w:pStyle w:val="Heading1"/>
      </w:pPr>
      <w:r>
        <w:t xml:space="preserve">15. Отбор проб</w:t>
      </w:r>
    </w:p>
    <w:p>
      <w:pPr>
        <w:pStyle w:val="FirstParagraph"/>
      </w:pPr>
      <w:r>
        <w:t xml:space="preserve">15.1. Отбор проб проводится для контроля качества и безопасности продукта, оформления паспорта качества партии, проведения периодических испытаний, первичного подтверждения соответствия, внеочередного контроля, претензионной или арбитражной проверки.</w:t>
      </w:r>
    </w:p>
    <w:p>
      <w:pPr>
        <w:pStyle w:val="BodyText"/>
      </w:pPr>
      <w:r>
        <w:t xml:space="preserve">15.2. Отбор проб должен обеспечивать представительность объединённой пробы по отношению к партии.</w:t>
      </w:r>
    </w:p>
    <w:p>
      <w:pPr>
        <w:pStyle w:val="BodyText"/>
      </w:pPr>
      <w:r>
        <w:t xml:space="preserve">15.3. При формировании партии в течение длительного периода точечные пробы отбираются равномерно в течение периода формирования партии либо от готовой упакованной продукции по плану, обеспечивающему репрезентативность объединённой пробы.</w:t>
      </w:r>
    </w:p>
    <w:p>
      <w:pPr>
        <w:pStyle w:val="BodyText"/>
      </w:pPr>
      <w:r>
        <w:t xml:space="preserve">15.4. При формировании партии в течение календарного квартала точечные пробы отбираются равномерно в течение периода формирования партии, но не реже одного раза в 10 календарных дней.</w:t>
      </w:r>
    </w:p>
    <w:p>
      <w:pPr>
        <w:pStyle w:val="BodyText"/>
      </w:pPr>
      <w:r>
        <w:t xml:space="preserve">15.5. Если в течение периода формирования партии выпуск продукции осуществляется отдельными производственными сериями или производственными периодами, точечные пробы могут отбираться от каждой такой серии или периода.</w:t>
      </w:r>
    </w:p>
    <w:p>
      <w:pPr>
        <w:pStyle w:val="BodyText"/>
      </w:pPr>
      <w:r>
        <w:t xml:space="preserve">15.6. Все точечные пробы, относящиеся к одной партии, объединяются для формирования объединённой пробы партии. Объединённая проба должна быть репрезентативной по отношению ко всей партии.</w:t>
      </w:r>
    </w:p>
    <w:p>
      <w:pPr>
        <w:pStyle w:val="BodyText"/>
      </w:pPr>
      <w:r>
        <w:t xml:space="preserve">15.7. Из объединённой пробы выделяют:</w:t>
      </w:r>
    </w:p>
    <w:p>
      <w:pPr>
        <w:pStyle w:val="BodyText"/>
      </w:pPr>
      <w:r>
        <w:t xml:space="preserve">среднюю пробу для проведения испытаний;</w:t>
      </w:r>
    </w:p>
    <w:p>
      <w:pPr>
        <w:pStyle w:val="BodyText"/>
      </w:pPr>
      <w:r>
        <w:t xml:space="preserve">контрольную пробу для хранения у изготовителя;</w:t>
      </w:r>
    </w:p>
    <w:p>
      <w:pPr>
        <w:pStyle w:val="BodyText"/>
      </w:pPr>
      <w:r>
        <w:t xml:space="preserve">дополнительную пробу для передачи покупателю или лаборатории, если это предусмотрено договором или программой контроля.</w:t>
      </w:r>
    </w:p>
    <w:p>
      <w:pPr>
        <w:pStyle w:val="BodyText"/>
      </w:pPr>
      <w:r>
        <w:t xml:space="preserve">15.8. Рекомендуемая минимальная масса контрольной пробы — не менее 500 г, если иная масса не требуется для проведения конкретных испытаний.</w:t>
      </w:r>
    </w:p>
    <w:p>
      <w:pPr>
        <w:pStyle w:val="BodyText"/>
      </w:pPr>
      <w:r>
        <w:t xml:space="preserve">15.9. Контрольная проба упаковывается в чистую, сухую, герметично закрываемую упаковку, маркируется с указанием наименования продукта, номера партии, даты отбора, массы пробы и лица, выполнившего отбор.</w:t>
      </w:r>
    </w:p>
    <w:p>
      <w:pPr>
        <w:pStyle w:val="BodyText"/>
      </w:pPr>
      <w:r>
        <w:t xml:space="preserve">15.10. Контрольная проба хранится в условиях, исключающих увлажнение, загрязнение, воздействие прямого солнечного света, посторонних запахов и вредителей.</w:t>
      </w:r>
    </w:p>
    <w:p>
      <w:pPr>
        <w:pStyle w:val="BodyText"/>
      </w:pPr>
      <w:r>
        <w:t xml:space="preserve">15.11. Рекомендуемый срок хранения контрольной пробы — до окончания срока годности партии.</w:t>
      </w:r>
    </w:p>
    <w:p>
      <w:pPr>
        <w:pStyle w:val="BodyText"/>
      </w:pPr>
      <w:r>
        <w:t xml:space="preserve">15.12. Если хранение контрольных проб не является обязательным по законодательству или договору, изготовитель вправе установить сокращённый срок хранения контрольной пробы, но не менее срока, необходимого для претензионной работы по соответствующей поставке.</w:t>
      </w:r>
    </w:p>
    <w:p>
      <w:r>
        <w:pict>
          <v:rect style="width:0;height:1.5pt" o:hralign="center" o:hrstd="t" o:hr="t"/>
        </w:pict>
      </w:r>
    </w:p>
    <w:bookmarkEnd w:id="40"/>
    <w:bookmarkStart w:id="41" w:name="методы-контроля"/>
    <w:p>
      <w:pPr>
        <w:pStyle w:val="Heading1"/>
      </w:pPr>
      <w:r>
        <w:t xml:space="preserve">16. Методы контроля</w:t>
      </w:r>
    </w:p>
    <w:p>
      <w:pPr>
        <w:pStyle w:val="FirstParagraph"/>
      </w:pPr>
      <w:r>
        <w:t xml:space="preserve">16.1. Контроль органолептических показателей проводится визуально и органолептически с применением действующих стандартов и методик, применимых к кормовой продукции и кормовому сырью.</w:t>
      </w:r>
    </w:p>
    <w:p>
      <w:pPr>
        <w:pStyle w:val="BodyText"/>
      </w:pPr>
      <w:r>
        <w:t xml:space="preserve">16.2. Массовая доля влаги определяется по ГОСТ 13496.3 или иной действующей аттестованной методике, применимой аккредитованной лабораторией.</w:t>
      </w:r>
    </w:p>
    <w:p>
      <w:pPr>
        <w:pStyle w:val="BodyText"/>
      </w:pPr>
      <w:r>
        <w:t xml:space="preserve">16.3. Массовая доля сырого протеина определяется по ГОСТ 13496.4 или иной действующей аттестованной методике, применимой аккредитованной лабораторией.</w:t>
      </w:r>
    </w:p>
    <w:p>
      <w:pPr>
        <w:pStyle w:val="BodyText"/>
      </w:pPr>
      <w:r>
        <w:t xml:space="preserve">16.4. Массовая доля сырого жира определяется по ГОСТ 13496.15 или иной действующей аттестованной методике, применимой аккредитованной лабораторией.</w:t>
      </w:r>
    </w:p>
    <w:p>
      <w:pPr>
        <w:pStyle w:val="BodyText"/>
      </w:pPr>
      <w:r>
        <w:t xml:space="preserve">16.5. Массовая доля сырой клетчатки определяется по ГОСТ 13496.2 или иной действующей аттестованной методике, применимой аккредитованной лабораторией.</w:t>
      </w:r>
    </w:p>
    <w:p>
      <w:pPr>
        <w:pStyle w:val="BodyText"/>
      </w:pPr>
      <w:r>
        <w:t xml:space="preserve">16.6. Массовая доля сырой золы определяется по ГОСТ 26226 или иной действующей аттестованной методике, применимой аккредитованной лабораторией.</w:t>
      </w:r>
    </w:p>
    <w:p>
      <w:pPr>
        <w:pStyle w:val="BodyText"/>
      </w:pPr>
      <w:r>
        <w:t xml:space="preserve">16.7. Крупность помола / фракционный состав определяется по действующим методикам, применимым к кормовой продукции, если данный показатель установлен договором, спецификацией или программой контроля.</w:t>
      </w:r>
    </w:p>
    <w:p>
      <w:pPr>
        <w:pStyle w:val="BodyText"/>
      </w:pPr>
      <w:r>
        <w:t xml:space="preserve">16.8. Металломагнитная примесь определяется по действующим методикам, применимым к кормовой продукции, если данный показатель установлен договором, спецификацией или программой контроля.</w:t>
      </w:r>
    </w:p>
    <w:p>
      <w:pPr>
        <w:pStyle w:val="BodyText"/>
      </w:pPr>
      <w:r>
        <w:t xml:space="preserve">16.9. Микробиологические показатели определяются по действующим нормативным документам и аттестованным методикам, применяемым аккредитованными лабораториями.</w:t>
      </w:r>
    </w:p>
    <w:p>
      <w:pPr>
        <w:pStyle w:val="BodyText"/>
      </w:pPr>
      <w:r>
        <w:t xml:space="preserve">16.10. Токсичные элементы, микотоксины, пестициды, радиологические показатели и ГМО определяются по действующим нормативным документам и аттестованным методикам, применяемым аккредитованными лабораториями.</w:t>
      </w:r>
    </w:p>
    <w:p>
      <w:pPr>
        <w:pStyle w:val="BodyText"/>
      </w:pPr>
      <w:r>
        <w:t xml:space="preserve">16.11. Аминокислотный, жирнокислотный и минеральный состав определяется по действующим методикам, применяемым аккредитованными лабораториями, при необходимости проведения таких испытаний.</w:t>
      </w:r>
    </w:p>
    <w:p>
      <w:pPr>
        <w:pStyle w:val="BodyText"/>
      </w:pPr>
      <w:r>
        <w:t xml:space="preserve">16.12. При наличии нескольких допустимых методов контроля допускается применение метода, выбранного аккредитованной лабораторией, если он пригоден для данного вида продукции и обеспечивает достоверность результата.</w:t>
      </w:r>
    </w:p>
    <w:p>
      <w:r>
        <w:pict>
          <v:rect style="width:0;height:1.5pt" o:hralign="center" o:hrstd="t" o:hr="t"/>
        </w:pict>
      </w:r>
    </w:p>
    <w:bookmarkEnd w:id="41"/>
    <w:bookmarkStart w:id="42" w:name="порядок-действий-при-несоответствии"/>
    <w:p>
      <w:pPr>
        <w:pStyle w:val="Heading1"/>
      </w:pPr>
      <w:r>
        <w:t xml:space="preserve">17. Порядок действий при несоответствии</w:t>
      </w:r>
    </w:p>
    <w:p>
      <w:pPr>
        <w:pStyle w:val="FirstParagraph"/>
      </w:pPr>
      <w:r>
        <w:t xml:space="preserve">17.1. При получении неудовлетворительных результатов контроля хотя бы по одному обязательному показателю партия подлежит дополнительной проверке.</w:t>
      </w:r>
    </w:p>
    <w:p>
      <w:pPr>
        <w:pStyle w:val="BodyText"/>
      </w:pPr>
      <w:r>
        <w:t xml:space="preserve">17.2. По решению ответственного лица изготовителя проводится повторный отбор проб и повторное испытание по показателю, по которому получен неудовлетворительный результат.</w:t>
      </w:r>
    </w:p>
    <w:p>
      <w:pPr>
        <w:pStyle w:val="BodyText"/>
      </w:pPr>
      <w:r>
        <w:t xml:space="preserve">17.3. При подтверждении несоответствия партия не подлежит реализации как соответствующая настоящим техническим условиям.</w:t>
      </w:r>
    </w:p>
    <w:p>
      <w:pPr>
        <w:pStyle w:val="BodyText"/>
      </w:pPr>
      <w:r>
        <w:t xml:space="preserve">17.4. В зависимости от характера несоответствия партия может быть:</w:t>
      </w:r>
    </w:p>
    <w:p>
      <w:pPr>
        <w:pStyle w:val="BodyText"/>
      </w:pPr>
      <w:r>
        <w:t xml:space="preserve">направлена на дополнительную сортировку, просеивание или иное допустимое технологическое действие;</w:t>
      </w:r>
    </w:p>
    <w:p>
      <w:pPr>
        <w:pStyle w:val="BodyText"/>
      </w:pPr>
      <w:r>
        <w:t xml:space="preserve">использована по иному назначению, если это не противоречит законодательству и обеспечивает безопасность;</w:t>
      </w:r>
    </w:p>
    <w:p>
      <w:pPr>
        <w:pStyle w:val="BodyText"/>
      </w:pPr>
      <w:r>
        <w:t xml:space="preserve">забракована;</w:t>
      </w:r>
    </w:p>
    <w:p>
      <w:pPr>
        <w:pStyle w:val="BodyText"/>
      </w:pPr>
      <w:r>
        <w:t xml:space="preserve">утилизирована;</w:t>
      </w:r>
    </w:p>
    <w:p>
      <w:pPr>
        <w:pStyle w:val="BodyText"/>
      </w:pPr>
      <w:r>
        <w:t xml:space="preserve">возвращена в производство, если это допустимо и не создаёт риска для безопасности.</w:t>
      </w:r>
    </w:p>
    <w:p>
      <w:pPr>
        <w:pStyle w:val="BodyText"/>
      </w:pPr>
      <w:r>
        <w:t xml:space="preserve">17.5. Решение по несоответствующей партии оформляется записью, актом или иным внутренним документом изготовителя.</w:t>
      </w:r>
    </w:p>
    <w:p>
      <w:pPr>
        <w:pStyle w:val="BodyText"/>
      </w:pPr>
      <w:r>
        <w:t xml:space="preserve">17.6. При выявлении несоответствия, связанного с безопасностью, изготовитель проводит анализ причин, оценивает затронутые партии и принимает корректирующие меры.</w:t>
      </w:r>
    </w:p>
    <w:p>
      <w:r>
        <w:pict>
          <v:rect style="width:0;height:1.5pt" o:hralign="center" o:hrstd="t" o:hr="t"/>
        </w:pict>
      </w:r>
    </w:p>
    <w:bookmarkEnd w:id="42"/>
    <w:bookmarkStart w:id="43" w:name="паспорт-качества-партии"/>
    <w:p>
      <w:pPr>
        <w:pStyle w:val="Heading1"/>
      </w:pPr>
      <w:r>
        <w:t xml:space="preserve">18. Паспорт качества партии</w:t>
      </w:r>
    </w:p>
    <w:p>
      <w:pPr>
        <w:pStyle w:val="FirstParagraph"/>
      </w:pPr>
      <w:r>
        <w:t xml:space="preserve">18.1. Каждая партия продукта сопровождается паспортом качества партии.</w:t>
      </w:r>
    </w:p>
    <w:p>
      <w:pPr>
        <w:pStyle w:val="BodyText"/>
      </w:pPr>
      <w:r>
        <w:t xml:space="preserve">18.2. Паспорт качества партии должен содержать:</w:t>
      </w:r>
    </w:p>
    <w:p>
      <w:pPr>
        <w:pStyle w:val="BodyText"/>
      </w:pPr>
      <w:r>
        <w:t xml:space="preserve">наименование изготовителя;</w:t>
      </w:r>
    </w:p>
    <w:p>
      <w:pPr>
        <w:pStyle w:val="BodyText"/>
      </w:pPr>
      <w:r>
        <w:t xml:space="preserve">адрес изготовителя;</w:t>
      </w:r>
    </w:p>
    <w:p>
      <w:pPr>
        <w:pStyle w:val="BodyText"/>
      </w:pPr>
      <w:r>
        <w:t xml:space="preserve">наименование продукта;</w:t>
      </w:r>
    </w:p>
    <w:p>
      <w:pPr>
        <w:pStyle w:val="BodyText"/>
      </w:pPr>
      <w:r>
        <w:t xml:space="preserve">обозначение настоящих технических условий;</w:t>
      </w:r>
    </w:p>
    <w:p>
      <w:pPr>
        <w:pStyle w:val="BodyText"/>
      </w:pPr>
      <w:r>
        <w:t xml:space="preserve">номер партии;</w:t>
      </w:r>
    </w:p>
    <w:p>
      <w:pPr>
        <w:pStyle w:val="BodyText"/>
      </w:pPr>
      <w:r>
        <w:t xml:space="preserve">дату изготовления;</w:t>
      </w:r>
    </w:p>
    <w:p>
      <w:pPr>
        <w:pStyle w:val="BodyText"/>
      </w:pPr>
      <w:r>
        <w:t xml:space="preserve">период формирования партии, если партия формировалась более одного дня;</w:t>
      </w:r>
    </w:p>
    <w:p>
      <w:pPr>
        <w:pStyle w:val="BodyText"/>
      </w:pPr>
      <w:r>
        <w:t xml:space="preserve">массу партии;</w:t>
      </w:r>
    </w:p>
    <w:p>
      <w:pPr>
        <w:pStyle w:val="BodyText"/>
      </w:pPr>
      <w:r>
        <w:t xml:space="preserve">вид упаковки и фасовки;</w:t>
      </w:r>
    </w:p>
    <w:p>
      <w:pPr>
        <w:pStyle w:val="BodyText"/>
      </w:pPr>
      <w:r>
        <w:t xml:space="preserve">срок годности;</w:t>
      </w:r>
    </w:p>
    <w:p>
      <w:pPr>
        <w:pStyle w:val="BodyText"/>
      </w:pPr>
      <w:r>
        <w:t xml:space="preserve">условия хранения;</w:t>
      </w:r>
    </w:p>
    <w:p>
      <w:pPr>
        <w:pStyle w:val="BodyText"/>
      </w:pPr>
      <w:r>
        <w:t xml:space="preserve">результаты приёмо-сдаточного контроля партии;</w:t>
      </w:r>
    </w:p>
    <w:p>
      <w:pPr>
        <w:pStyle w:val="BodyText"/>
      </w:pPr>
      <w:r>
        <w:t xml:space="preserve">отметку о соответствии партии требованиям настоящих технических условий;</w:t>
      </w:r>
    </w:p>
    <w:p>
      <w:pPr>
        <w:pStyle w:val="BodyText"/>
      </w:pPr>
      <w:r>
        <w:t xml:space="preserve">сведения о протоколе испытаний, если применимо;</w:t>
      </w:r>
    </w:p>
    <w:p>
      <w:pPr>
        <w:pStyle w:val="BodyText"/>
      </w:pPr>
      <w:r>
        <w:t xml:space="preserve">дату оформления паспорта качества;</w:t>
      </w:r>
    </w:p>
    <w:p>
      <w:pPr>
        <w:pStyle w:val="BodyText"/>
      </w:pPr>
      <w:r>
        <w:t xml:space="preserve">должность, фамилию и подпись ответственного лица;</w:t>
      </w:r>
    </w:p>
    <w:p>
      <w:pPr>
        <w:pStyle w:val="BodyText"/>
      </w:pPr>
      <w:r>
        <w:t xml:space="preserve">печать, при наличии.</w:t>
      </w:r>
    </w:p>
    <w:p>
      <w:pPr>
        <w:pStyle w:val="BodyText"/>
      </w:pPr>
      <w:r>
        <w:t xml:space="preserve">18.3. В паспорт качества партии включаются фактические значения только тех показателей, которые реально контролировались для данной партии.</w:t>
      </w:r>
    </w:p>
    <w:p>
      <w:pPr>
        <w:pStyle w:val="BodyText"/>
      </w:pPr>
      <w:r>
        <w:t xml:space="preserve">18.4. Показатели периодического контроля могут указываться в паспорте качества партии при наличии актуального протокола испытаний либо предоставляться покупателю отдельным протоколом.</w:t>
      </w:r>
    </w:p>
    <w:p>
      <w:pPr>
        <w:pStyle w:val="BodyText"/>
      </w:pPr>
      <w:r>
        <w:t xml:space="preserve">18.5. В паспорт качества партии не включается точное соотношение компонентов, рецептура и технологические параметры производства.</w:t>
      </w:r>
    </w:p>
    <w:p>
      <w:r>
        <w:pict>
          <v:rect style="width:0;height:1.5pt" o:hralign="center" o:hrstd="t" o:hr="t"/>
        </w:pict>
      </w:r>
    </w:p>
    <w:bookmarkEnd w:id="43"/>
    <w:bookmarkStart w:id="44" w:name="спецификация-для-покупателя"/>
    <w:p>
      <w:pPr>
        <w:pStyle w:val="Heading1"/>
      </w:pPr>
      <w:r>
        <w:t xml:space="preserve">19. Спецификация для покупателя</w:t>
      </w:r>
    </w:p>
    <w:p>
      <w:pPr>
        <w:pStyle w:val="FirstParagraph"/>
      </w:pPr>
      <w:r>
        <w:t xml:space="preserve">19.1. Для предоставления покупателям изготовитель может разрабатывать спецификацию или лист технических характеристик продукта.</w:t>
      </w:r>
    </w:p>
    <w:p>
      <w:pPr>
        <w:pStyle w:val="BodyText"/>
      </w:pPr>
      <w:r>
        <w:t xml:space="preserve">19.2. Спецификация может содержать:</w:t>
      </w:r>
    </w:p>
    <w:p>
      <w:pPr>
        <w:pStyle w:val="BodyText"/>
      </w:pPr>
      <w:r>
        <w:t xml:space="preserve">наименование продукта;</w:t>
      </w:r>
    </w:p>
    <w:p>
      <w:pPr>
        <w:pStyle w:val="BodyText"/>
      </w:pPr>
      <w:r>
        <w:t xml:space="preserve">назначение;</w:t>
      </w:r>
    </w:p>
    <w:p>
      <w:pPr>
        <w:pStyle w:val="BodyText"/>
      </w:pPr>
      <w:r>
        <w:t xml:space="preserve">краткое описание продукта;</w:t>
      </w:r>
    </w:p>
    <w:p>
      <w:pPr>
        <w:pStyle w:val="BodyText"/>
      </w:pPr>
      <w:r>
        <w:t xml:space="preserve">общий состав без раскрытия точного соотношения компонентов;</w:t>
      </w:r>
    </w:p>
    <w:p>
      <w:pPr>
        <w:pStyle w:val="BodyText"/>
      </w:pPr>
      <w:r>
        <w:t xml:space="preserve">гарантируемые показатели качества;</w:t>
      </w:r>
    </w:p>
    <w:p>
      <w:pPr>
        <w:pStyle w:val="BodyText"/>
      </w:pPr>
      <w:r>
        <w:t xml:space="preserve">справочные показатели питательности;</w:t>
      </w:r>
    </w:p>
    <w:p>
      <w:pPr>
        <w:pStyle w:val="BodyText"/>
      </w:pPr>
      <w:r>
        <w:t xml:space="preserve">условия хранения;</w:t>
      </w:r>
    </w:p>
    <w:p>
      <w:pPr>
        <w:pStyle w:val="BodyText"/>
      </w:pPr>
      <w:r>
        <w:t xml:space="preserve">срок годности;</w:t>
      </w:r>
    </w:p>
    <w:p>
      <w:pPr>
        <w:pStyle w:val="BodyText"/>
      </w:pPr>
      <w:r>
        <w:t xml:space="preserve">общие требования к упаковке;</w:t>
      </w:r>
    </w:p>
    <w:p>
      <w:pPr>
        <w:pStyle w:val="BodyText"/>
      </w:pPr>
      <w:r>
        <w:t xml:space="preserve">перечень документов, предоставляемых на партию;</w:t>
      </w:r>
    </w:p>
    <w:p>
      <w:pPr>
        <w:pStyle w:val="BodyText"/>
      </w:pPr>
      <w:r>
        <w:t xml:space="preserve">указание, что качество и безопасность подтверждаются паспортом качества и протоколами испытаний.</w:t>
      </w:r>
    </w:p>
    <w:p>
      <w:pPr>
        <w:pStyle w:val="BodyText"/>
      </w:pPr>
      <w:r>
        <w:t xml:space="preserve">19.3. В спецификации не раскрываются:</w:t>
      </w:r>
    </w:p>
    <w:p>
      <w:pPr>
        <w:pStyle w:val="BodyText"/>
      </w:pPr>
      <w:r>
        <w:t xml:space="preserve">точное соотношение компонентов;</w:t>
      </w:r>
    </w:p>
    <w:p>
      <w:pPr>
        <w:pStyle w:val="BodyText"/>
      </w:pPr>
      <w:r>
        <w:t xml:space="preserve">рецептура;</w:t>
      </w:r>
    </w:p>
    <w:p>
      <w:pPr>
        <w:pStyle w:val="BodyText"/>
      </w:pPr>
      <w:r>
        <w:t xml:space="preserve">технологические параметры производства;</w:t>
      </w:r>
    </w:p>
    <w:p>
      <w:pPr>
        <w:pStyle w:val="BodyText"/>
      </w:pPr>
      <w:r>
        <w:t xml:space="preserve">режимы сушки, измельчения и смешивания;</w:t>
      </w:r>
    </w:p>
    <w:p>
      <w:pPr>
        <w:pStyle w:val="BodyText"/>
      </w:pPr>
      <w:r>
        <w:t xml:space="preserve">критерии подбора сырья;</w:t>
      </w:r>
    </w:p>
    <w:p>
      <w:pPr>
        <w:pStyle w:val="BodyText"/>
      </w:pPr>
      <w:r>
        <w:t xml:space="preserve">внутренняя производственная документация изготовителя.</w:t>
      </w:r>
    </w:p>
    <w:p>
      <w:pPr>
        <w:pStyle w:val="BodyText"/>
      </w:pPr>
      <w:r>
        <w:t xml:space="preserve">19.4. Рекомендуемая формулировка для спецификации:</w:t>
      </w:r>
    </w:p>
    <w:p>
      <w:pPr>
        <w:pStyle w:val="BodyText"/>
      </w:pPr>
      <w:r>
        <w:t xml:space="preserve">«Конкретное соотношение компонентов, рецептура и технологические параметры производства являются коммерческой тайной изготовителя».</w:t>
      </w:r>
    </w:p>
    <w:p>
      <w:r>
        <w:pict>
          <v:rect style="width:0;height:1.5pt" o:hralign="center" o:hrstd="t" o:hr="t"/>
        </w:pict>
      </w:r>
    </w:p>
    <w:bookmarkEnd w:id="44"/>
    <w:bookmarkStart w:id="45" w:name="рекомендации-по-применению"/>
    <w:p>
      <w:pPr>
        <w:pStyle w:val="Heading1"/>
      </w:pPr>
      <w:r>
        <w:t xml:space="preserve">20. Рекомендации по применению</w:t>
      </w:r>
    </w:p>
    <w:p>
      <w:pPr>
        <w:pStyle w:val="FirstParagraph"/>
      </w:pPr>
      <w:r>
        <w:t xml:space="preserve">20.1. Фиксированные нормы ввода продукта по видам животных не являются обязательным требованием настоящих технических условий.</w:t>
      </w:r>
    </w:p>
    <w:p>
      <w:pPr>
        <w:pStyle w:val="BodyText"/>
      </w:pPr>
      <w:r>
        <w:t xml:space="preserve">20.2. Уровень включения продукта в рецептуры комбикормов определяется специалистами комбикормового завода, зоотехниками, технологами кормопроизводства, специалистами по кормлению или иными ответственными специалистами с учётом:</w:t>
      </w:r>
    </w:p>
    <w:p>
      <w:pPr>
        <w:pStyle w:val="BodyText"/>
      </w:pPr>
      <w:r>
        <w:t xml:space="preserve">вида животных;</w:t>
      </w:r>
    </w:p>
    <w:p>
      <w:pPr>
        <w:pStyle w:val="BodyText"/>
      </w:pPr>
      <w:r>
        <w:t xml:space="preserve">возраста животных;</w:t>
      </w:r>
    </w:p>
    <w:p>
      <w:pPr>
        <w:pStyle w:val="BodyText"/>
      </w:pPr>
      <w:r>
        <w:t xml:space="preserve">физиологического состояния;</w:t>
      </w:r>
    </w:p>
    <w:p>
      <w:pPr>
        <w:pStyle w:val="BodyText"/>
      </w:pPr>
      <w:r>
        <w:t xml:space="preserve">производственного направления;</w:t>
      </w:r>
    </w:p>
    <w:p>
      <w:pPr>
        <w:pStyle w:val="BodyText"/>
      </w:pPr>
      <w:r>
        <w:t xml:space="preserve">состава базового рациона;</w:t>
      </w:r>
    </w:p>
    <w:p>
      <w:pPr>
        <w:pStyle w:val="BodyText"/>
      </w:pPr>
      <w:r>
        <w:t xml:space="preserve">требуемого уровня сырого протеина;</w:t>
      </w:r>
    </w:p>
    <w:p>
      <w:pPr>
        <w:pStyle w:val="BodyText"/>
      </w:pPr>
      <w:r>
        <w:t xml:space="preserve">требуемого уровня жира, клетчатки, минеральных веществ и иных показателей питательности;</w:t>
      </w:r>
    </w:p>
    <w:p>
      <w:pPr>
        <w:pStyle w:val="BodyText"/>
      </w:pPr>
      <w:r>
        <w:t xml:space="preserve">ограничений по сырью;</w:t>
      </w:r>
    </w:p>
    <w:p>
      <w:pPr>
        <w:pStyle w:val="BodyText"/>
      </w:pPr>
      <w:r>
        <w:t xml:space="preserve">экономической модели рецептуры.</w:t>
      </w:r>
    </w:p>
    <w:p>
      <w:pPr>
        <w:pStyle w:val="BodyText"/>
      </w:pPr>
      <w:r>
        <w:t xml:space="preserve">20.3. Изготовитель может разрабатывать отдельный рекомендательный документ «Рекомендации по технологическому применению кормового белкового продукта</w:t>
      </w:r>
      <w:r>
        <w:t xml:space="preserve"> </w:t>
      </w:r>
      <w:r>
        <w:t xml:space="preserve">“ГерметияВит”</w:t>
      </w:r>
      <w:r>
        <w:t xml:space="preserve"> </w:t>
      </w:r>
      <w:r>
        <w:t xml:space="preserve">в рецептурах комбикормов».</w:t>
      </w:r>
    </w:p>
    <w:p>
      <w:pPr>
        <w:pStyle w:val="BodyText"/>
      </w:pPr>
      <w:r>
        <w:t xml:space="preserve">20.4. Рекомендации по применению носят справочный характер и не являются обязательным требованием настоящих технических условий.</w:t>
      </w:r>
    </w:p>
    <w:p>
      <w:pPr>
        <w:pStyle w:val="BodyText"/>
      </w:pPr>
      <w:r>
        <w:t xml:space="preserve">20.5. В рекомендациях по применению не допускается заявлять лечебное, профилактическое, иммуномодулирующее, фармакологическое или иное специальное функциональное действие продукта.</w:t>
      </w:r>
    </w:p>
    <w:p>
      <w:r>
        <w:pict>
          <v:rect style="width:0;height:1.5pt" o:hralign="center" o:hrstd="t" o:hr="t"/>
        </w:pict>
      </w:r>
    </w:p>
    <w:bookmarkEnd w:id="45"/>
    <w:bookmarkStart w:id="46" w:name="коммерческая-тайна"/>
    <w:p>
      <w:pPr>
        <w:pStyle w:val="Heading1"/>
      </w:pPr>
      <w:r>
        <w:t xml:space="preserve">21. Коммерческая тайна</w:t>
      </w:r>
    </w:p>
    <w:p>
      <w:pPr>
        <w:pStyle w:val="FirstParagraph"/>
      </w:pPr>
      <w:r>
        <w:t xml:space="preserve">21.1. К сведениям, составляющим коммерческую тайну изготовителя, относятся:</w:t>
      </w:r>
    </w:p>
    <w:p>
      <w:pPr>
        <w:pStyle w:val="BodyText"/>
      </w:pPr>
      <w:r>
        <w:t xml:space="preserve">точное соотношение компонентов;</w:t>
      </w:r>
    </w:p>
    <w:p>
      <w:pPr>
        <w:pStyle w:val="BodyText"/>
      </w:pPr>
      <w:r>
        <w:t xml:space="preserve">рецептура;</w:t>
      </w:r>
    </w:p>
    <w:p>
      <w:pPr>
        <w:pStyle w:val="BodyText"/>
      </w:pPr>
      <w:r>
        <w:t xml:space="preserve">рецептурные диапазоны;</w:t>
      </w:r>
    </w:p>
    <w:p>
      <w:pPr>
        <w:pStyle w:val="BodyText"/>
      </w:pPr>
      <w:r>
        <w:t xml:space="preserve">технологические параметры производства;</w:t>
      </w:r>
    </w:p>
    <w:p>
      <w:pPr>
        <w:pStyle w:val="BodyText"/>
      </w:pPr>
      <w:r>
        <w:t xml:space="preserve">режимы сушки, измельчения и смешивания;</w:t>
      </w:r>
    </w:p>
    <w:p>
      <w:pPr>
        <w:pStyle w:val="BodyText"/>
      </w:pPr>
      <w:r>
        <w:t xml:space="preserve">критерии подбора сырья;</w:t>
      </w:r>
    </w:p>
    <w:p>
      <w:pPr>
        <w:pStyle w:val="BodyText"/>
      </w:pPr>
      <w:r>
        <w:t xml:space="preserve">внутренняя производственная документация;</w:t>
      </w:r>
    </w:p>
    <w:p>
      <w:pPr>
        <w:pStyle w:val="BodyText"/>
      </w:pPr>
      <w:r>
        <w:t xml:space="preserve">производственные регламенты;</w:t>
      </w:r>
    </w:p>
    <w:p>
      <w:pPr>
        <w:pStyle w:val="BodyText"/>
      </w:pPr>
      <w:r>
        <w:t xml:space="preserve">рецептурные карты;</w:t>
      </w:r>
    </w:p>
    <w:p>
      <w:pPr>
        <w:pStyle w:val="BodyText"/>
      </w:pPr>
      <w:r>
        <w:t xml:space="preserve">технологические инструкции;</w:t>
      </w:r>
    </w:p>
    <w:p>
      <w:pPr>
        <w:pStyle w:val="BodyText"/>
      </w:pPr>
      <w:r>
        <w:t xml:space="preserve">внутренние формы производственного учёта;</w:t>
      </w:r>
    </w:p>
    <w:p>
      <w:pPr>
        <w:pStyle w:val="BodyText"/>
      </w:pPr>
      <w:r>
        <w:t xml:space="preserve">иные сведения, отнесённые изготовителем к коммерческой тайне.</w:t>
      </w:r>
    </w:p>
    <w:p>
      <w:pPr>
        <w:pStyle w:val="BodyText"/>
      </w:pPr>
      <w:r>
        <w:t xml:space="preserve">21.2. Полная редакция настоящих технических условий является внутренним нормативным документом изготовителя и предоставляется третьим лицам в порядке, установленном изготовителем, договором или соглашением о конфиденциальности.</w:t>
      </w:r>
    </w:p>
    <w:p>
      <w:pPr>
        <w:pStyle w:val="BodyText"/>
      </w:pPr>
      <w:r>
        <w:t xml:space="preserve">21.3. Покупателям обычно предоставляются:</w:t>
      </w:r>
    </w:p>
    <w:p>
      <w:pPr>
        <w:pStyle w:val="BodyText"/>
      </w:pPr>
      <w:r>
        <w:t xml:space="preserve">публичная редакция технических условий;</w:t>
      </w:r>
    </w:p>
    <w:p>
      <w:pPr>
        <w:pStyle w:val="BodyText"/>
      </w:pPr>
      <w:r>
        <w:t xml:space="preserve">спецификация или лист технических характеристик;</w:t>
      </w:r>
    </w:p>
    <w:p>
      <w:pPr>
        <w:pStyle w:val="BodyText"/>
      </w:pPr>
      <w:r>
        <w:t xml:space="preserve">паспорт качества партии;</w:t>
      </w:r>
    </w:p>
    <w:p>
      <w:pPr>
        <w:pStyle w:val="BodyText"/>
      </w:pPr>
      <w:r>
        <w:t xml:space="preserve">декларация о соответствии, если применимо;</w:t>
      </w:r>
    </w:p>
    <w:p>
      <w:pPr>
        <w:pStyle w:val="BodyText"/>
      </w:pPr>
      <w:r>
        <w:t xml:space="preserve">протоколы испытаний, если применимо;</w:t>
      </w:r>
    </w:p>
    <w:p>
      <w:pPr>
        <w:pStyle w:val="BodyText"/>
      </w:pPr>
      <w:r>
        <w:t xml:space="preserve">ветеринарные сопроводительные документы, если применимо;</w:t>
      </w:r>
    </w:p>
    <w:p>
      <w:pPr>
        <w:pStyle w:val="BodyText"/>
      </w:pPr>
      <w:r>
        <w:t xml:space="preserve">иные документы, предусмотренные договором поставки или законодательством.</w:t>
      </w:r>
    </w:p>
    <w:p>
      <w:r>
        <w:pict>
          <v:rect style="width:0;height:1.5pt" o:hralign="center" o:hrstd="t" o:hr="t"/>
        </w:pict>
      </w:r>
    </w:p>
    <w:bookmarkEnd w:id="46"/>
    <w:bookmarkStart w:id="47" w:name="претензии-и-арбитраж"/>
    <w:p>
      <w:pPr>
        <w:pStyle w:val="Heading1"/>
      </w:pPr>
      <w:r>
        <w:t xml:space="preserve">22. Претензии и арбитраж</w:t>
      </w:r>
    </w:p>
    <w:p>
      <w:pPr>
        <w:pStyle w:val="FirstParagraph"/>
      </w:pPr>
      <w:r>
        <w:t xml:space="preserve">22.1. Претензии покупателя по качеству и безопасности продукта рассматриваются изготовителем при наличии документов, позволяющих идентифицировать продукцию, партию, условия транспортирования, хранения и применения продукта.</w:t>
      </w:r>
    </w:p>
    <w:p>
      <w:pPr>
        <w:pStyle w:val="BodyText"/>
      </w:pPr>
      <w:r>
        <w:t xml:space="preserve">22.2. При поступлении претензии изготовитель вправе запросить у покупателя:</w:t>
      </w:r>
    </w:p>
    <w:p>
      <w:pPr>
        <w:pStyle w:val="BodyText"/>
      </w:pPr>
      <w:r>
        <w:t xml:space="preserve">номер партии;</w:t>
      </w:r>
    </w:p>
    <w:p>
      <w:pPr>
        <w:pStyle w:val="BodyText"/>
      </w:pPr>
      <w:r>
        <w:t xml:space="preserve">дату поставки;</w:t>
      </w:r>
    </w:p>
    <w:p>
      <w:pPr>
        <w:pStyle w:val="BodyText"/>
      </w:pPr>
      <w:r>
        <w:t xml:space="preserve">паспорт качества партии;</w:t>
      </w:r>
    </w:p>
    <w:p>
      <w:pPr>
        <w:pStyle w:val="BodyText"/>
      </w:pPr>
      <w:r>
        <w:t xml:space="preserve">условия хранения у покупателя;</w:t>
      </w:r>
    </w:p>
    <w:p>
      <w:pPr>
        <w:pStyle w:val="BodyText"/>
      </w:pPr>
      <w:r>
        <w:t xml:space="preserve">фотографии упаковки и продукта;</w:t>
      </w:r>
    </w:p>
    <w:p>
      <w:pPr>
        <w:pStyle w:val="BodyText"/>
      </w:pPr>
      <w:r>
        <w:t xml:space="preserve">остаток продукции для исследования;</w:t>
      </w:r>
    </w:p>
    <w:p>
      <w:pPr>
        <w:pStyle w:val="BodyText"/>
      </w:pPr>
      <w:r>
        <w:t xml:space="preserve">акт отбора проб;</w:t>
      </w:r>
    </w:p>
    <w:p>
      <w:pPr>
        <w:pStyle w:val="BodyText"/>
      </w:pPr>
      <w:r>
        <w:t xml:space="preserve">протокол испытаний, если испытания проводились покупателем;</w:t>
      </w:r>
    </w:p>
    <w:p>
      <w:pPr>
        <w:pStyle w:val="BodyText"/>
      </w:pPr>
      <w:r>
        <w:t xml:space="preserve">иные сведения, необходимые для рассмотрения претензии.</w:t>
      </w:r>
    </w:p>
    <w:p>
      <w:pPr>
        <w:pStyle w:val="BodyText"/>
      </w:pPr>
      <w:r>
        <w:t xml:space="preserve">22.3. При необходимости проводится повторное испытание контрольной пробы изготовителя, пробы покупателя или совместно отобранной арбитражной пробы.</w:t>
      </w:r>
    </w:p>
    <w:p>
      <w:pPr>
        <w:pStyle w:val="BodyText"/>
      </w:pPr>
      <w:r>
        <w:t xml:space="preserve">22.4. Арбитражные испытания проводятся в аккредитованной лаборатории, согласованной сторонами или определённой договором поставки.</w:t>
      </w:r>
    </w:p>
    <w:p>
      <w:pPr>
        <w:pStyle w:val="BodyText"/>
      </w:pPr>
      <w:r>
        <w:t xml:space="preserve">22.5. При расхождении результатов испытаний порядок признания результатов, распределения расходов и принятия решения определяется договором поставки или отдельным соглашением сторон.</w:t>
      </w:r>
    </w:p>
    <w:p>
      <w:pPr>
        <w:pStyle w:val="BodyText"/>
      </w:pPr>
      <w:r>
        <w:t xml:space="preserve">22.6. Если несоответствие продукции подтверждено и связано с действиями изготовителя, изготовитель принимает меры, предусмотренные договором поставки и действующим законодательством.</w:t>
      </w:r>
    </w:p>
    <w:p>
      <w:pPr>
        <w:pStyle w:val="BodyText"/>
      </w:pPr>
      <w:r>
        <w:t xml:space="preserve">22.7. Если несоответствие связано с нарушением условий транспортирования, хранения, вскрытия упаковки, применения продукта или иными действиями после передачи продукции покупателю, ответственность изготовителя не наступает, если иное не предусмотрено договором или законодательством.</w:t>
      </w:r>
    </w:p>
    <w:p>
      <w:r>
        <w:pict>
          <v:rect style="width:0;height:1.5pt" o:hralign="center" o:hrstd="t" o:hr="t"/>
        </w:pict>
      </w:r>
    </w:p>
    <w:bookmarkEnd w:id="47"/>
    <w:bookmarkStart w:id="48" w:name="гарантии-изготовителя"/>
    <w:p>
      <w:pPr>
        <w:pStyle w:val="Heading1"/>
      </w:pPr>
      <w:r>
        <w:t xml:space="preserve">23. Гарантии изготовителя</w:t>
      </w:r>
    </w:p>
    <w:p>
      <w:pPr>
        <w:pStyle w:val="FirstParagraph"/>
      </w:pPr>
      <w:r>
        <w:t xml:space="preserve">23.1. Изготовитель гарантирует соответствие продукта требованиям настоящих технических условий при соблюдении потребителем условий транспортирования, хранения и применения продукта.</w:t>
      </w:r>
    </w:p>
    <w:p>
      <w:pPr>
        <w:pStyle w:val="BodyText"/>
      </w:pPr>
      <w:r>
        <w:t xml:space="preserve">23.2. Гарантии изготовителя распространяются на продукцию в неповреждённой заводской упаковке в пределах установленного срока годности.</w:t>
      </w:r>
    </w:p>
    <w:p>
      <w:pPr>
        <w:pStyle w:val="BodyText"/>
      </w:pPr>
      <w:r>
        <w:t xml:space="preserve">23.3. Изготовитель не несёт ответственности за ухудшение качества продукта, возникшее вследствие нарушения условий транспортирования, хранения, вскрытия упаковки, загрязнения продукта, увлажнения, воздействия прямого солнечного света, вредителей, посторонних запахов или иных факторов, не зависящих от изготовителя.</w:t>
      </w:r>
    </w:p>
    <w:p>
      <w:r>
        <w:pict>
          <v:rect style="width:0;height:1.5pt" o:hralign="center" o:hrstd="t" o:hr="t"/>
        </w:pict>
      </w:r>
    </w:p>
    <w:bookmarkEnd w:id="48"/>
    <w:bookmarkStart w:id="49" w:name="требования-охраны-окружающей-среды"/>
    <w:p>
      <w:pPr>
        <w:pStyle w:val="Heading1"/>
      </w:pPr>
      <w:r>
        <w:t xml:space="preserve">24. Требования охраны окружающей среды</w:t>
      </w:r>
    </w:p>
    <w:p>
      <w:pPr>
        <w:pStyle w:val="FirstParagraph"/>
      </w:pPr>
      <w:r>
        <w:t xml:space="preserve">24.1. Производство, хранение и транспортирование продукта должны осуществляться с соблюдением требований охраны окружающей среды, санитарных норм и правил, применимых к данному виду деятельности.</w:t>
      </w:r>
    </w:p>
    <w:p>
      <w:pPr>
        <w:pStyle w:val="BodyText"/>
      </w:pPr>
      <w:r>
        <w:t xml:space="preserve">24.2. Отходы, образующиеся при производстве, упаковке, хранении или браковке продукции, подлежат сбору, хранению, использованию, обезвреживанию или утилизации в соответствии с требованиями действующего законодательства и внутренними процедурами изготовителя.</w:t>
      </w:r>
    </w:p>
    <w:p>
      <w:pPr>
        <w:pStyle w:val="BodyText"/>
      </w:pPr>
      <w:r>
        <w:t xml:space="preserve">24.3. Упаковочные материалы подлежат обращению в соответствии с требованиями законодательства об отходах и правилами обращения с упаковкой.</w:t>
      </w:r>
    </w:p>
    <w:p>
      <w:r>
        <w:pict>
          <v:rect style="width:0;height:1.5pt" o:hralign="center" o:hrstd="t" o:hr="t"/>
        </w:pict>
      </w:r>
    </w:p>
    <w:bookmarkEnd w:id="49"/>
    <w:bookmarkStart w:id="50" w:name="требования-безопасности-труда"/>
    <w:p>
      <w:pPr>
        <w:pStyle w:val="Heading1"/>
      </w:pPr>
      <w:r>
        <w:t xml:space="preserve">25. Требования безопасности труда</w:t>
      </w:r>
    </w:p>
    <w:p>
      <w:pPr>
        <w:pStyle w:val="FirstParagraph"/>
      </w:pPr>
      <w:r>
        <w:t xml:space="preserve">25.1. При производстве, фасовании, упаковке, хранении и транспортировании продукта должны соблюдаться требования охраны труда, производственной санитарии и пожарной безопасности.</w:t>
      </w:r>
    </w:p>
    <w:p>
      <w:pPr>
        <w:pStyle w:val="BodyText"/>
      </w:pPr>
      <w:r>
        <w:t xml:space="preserve">25.2. Работники, занятые в производстве продукта, должны быть обеспечены средствами индивидуальной защиты в соответствии с характером выполняемых работ и внутренними требованиями изготовителя.</w:t>
      </w:r>
    </w:p>
    <w:p>
      <w:pPr>
        <w:pStyle w:val="BodyText"/>
      </w:pPr>
      <w:r>
        <w:t xml:space="preserve">25.3. При работе с сухим измельчённым продуктом должны приниматься меры, направленные на снижение запылённости, предотвращение загрязнения продукции и обеспечение безопасных условий труда.</w:t>
      </w:r>
    </w:p>
    <w:p>
      <w:r>
        <w:pict>
          <v:rect style="width:0;height:1.5pt" o:hralign="center" o:hrstd="t" o:hr="t"/>
        </w:pict>
      </w:r>
    </w:p>
    <w:bookmarkEnd w:id="50"/>
    <w:bookmarkStart w:id="53" w:name="приложение-а"/>
    <w:p>
      <w:pPr>
        <w:pStyle w:val="Heading1"/>
      </w:pPr>
      <w:r>
        <w:t xml:space="preserve">Приложение А</w:t>
      </w:r>
    </w:p>
    <w:bookmarkStart w:id="51" w:name="Xcb3496ef1f273a2131cdf03d2239971d0de8d0a"/>
    <w:p>
      <w:pPr>
        <w:pStyle w:val="Heading2"/>
      </w:pPr>
      <w:r>
        <w:t xml:space="preserve">Рекомендуемая форма паспорта качества партии</w:t>
      </w:r>
    </w:p>
    <w:p>
      <w:pPr>
        <w:pStyle w:val="FirstParagraph"/>
      </w:pPr>
      <w:r>
        <w:t xml:space="preserve">ООО «Карелбиотех»</w:t>
      </w:r>
    </w:p>
    <w:bookmarkEnd w:id="51"/>
    <w:bookmarkStart w:id="52" w:name="паспорт-качества-партии-1"/>
    <w:p>
      <w:pPr>
        <w:pStyle w:val="Heading2"/>
      </w:pPr>
      <w:r>
        <w:t xml:space="preserve">ПАСПОРТ КАЧЕСТВА ПАРТИИ</w:t>
      </w:r>
    </w:p>
    <w:p>
      <w:pPr>
        <w:pStyle w:val="FirstParagraph"/>
      </w:pPr>
      <w:r>
        <w:t xml:space="preserve">Наименование продукта: Кормовой белковый продукт «ГерметияВит»</w:t>
      </w:r>
    </w:p>
    <w:p>
      <w:pPr>
        <w:pStyle w:val="BodyText"/>
      </w:pPr>
      <w:r>
        <w:t xml:space="preserve">Обозначение ТУ: ТУ 10.91.10-001-47033053-2026</w:t>
      </w:r>
    </w:p>
    <w:p>
      <w:pPr>
        <w:pStyle w:val="BodyText"/>
      </w:pPr>
      <w:r>
        <w:t xml:space="preserve">Номер партии: __________________________</w:t>
      </w:r>
    </w:p>
    <w:p>
      <w:pPr>
        <w:pStyle w:val="BodyText"/>
      </w:pPr>
      <w:r>
        <w:t xml:space="preserve">Период формирования партии: с «</w:t>
      </w:r>
      <w:r>
        <w:rPr>
          <w:b/>
          <w:bCs/>
          <w:i/>
          <w:iCs/>
        </w:rPr>
        <w:t xml:space="preserve">»</w:t>
      </w:r>
      <w:r>
        <w:rPr>
          <w:b/>
          <w:bCs/>
          <w:i/>
          <w:iCs/>
        </w:rPr>
        <w:t xml:space="preserve"> </w:t>
      </w:r>
      <w:r>
        <w:t xml:space="preserve">_______ 20__ г. по «</w:t>
      </w:r>
      <w:r>
        <w:rPr>
          <w:b/>
          <w:bCs/>
          <w:i/>
          <w:iCs/>
        </w:rPr>
        <w:t xml:space="preserve">»</w:t>
      </w:r>
      <w:r>
        <w:rPr>
          <w:b/>
          <w:bCs/>
          <w:i/>
          <w:iCs/>
        </w:rPr>
        <w:t xml:space="preserve"> </w:t>
      </w:r>
      <w:r>
        <w:t xml:space="preserve">_______ 20__ г.</w:t>
      </w:r>
    </w:p>
    <w:p>
      <w:pPr>
        <w:pStyle w:val="BodyText"/>
      </w:pPr>
      <w:r>
        <w:t xml:space="preserve">Дата изготовления: «</w:t>
      </w:r>
      <w:r>
        <w:rPr>
          <w:b/>
          <w:bCs/>
          <w:i/>
          <w:iCs/>
        </w:rPr>
        <w:t xml:space="preserve">»</w:t>
      </w:r>
      <w:r>
        <w:rPr>
          <w:b/>
          <w:bCs/>
          <w:i/>
          <w:iCs/>
        </w:rPr>
        <w:t xml:space="preserve"> </w:t>
      </w:r>
      <w:r>
        <w:t xml:space="preserve">_______ 20__ г.</w:t>
      </w:r>
    </w:p>
    <w:p>
      <w:pPr>
        <w:pStyle w:val="BodyText"/>
      </w:pPr>
      <w:r>
        <w:t xml:space="preserve">Масса партии: __________________________</w:t>
      </w:r>
    </w:p>
    <w:p>
      <w:pPr>
        <w:pStyle w:val="BodyText"/>
      </w:pPr>
      <w:r>
        <w:t xml:space="preserve">Вид упаковки / фасовки: __________________________</w:t>
      </w:r>
    </w:p>
    <w:p>
      <w:pPr>
        <w:pStyle w:val="BodyText"/>
      </w:pPr>
      <w:r>
        <w:t xml:space="preserve">Срок годности: __________________________</w:t>
      </w:r>
    </w:p>
    <w:p>
      <w:pPr>
        <w:pStyle w:val="BodyText"/>
      </w:pPr>
      <w:r>
        <w:t xml:space="preserve">Условия хранения: хранить в сухом, чистом, проветриваемом помещении, защищённом от влаги, прямого солнечного света, загрязнения и вредителей.</w:t>
      </w:r>
    </w:p>
    <w:p>
      <w:pPr>
        <w:pStyle w:val="BodyText"/>
      </w:pPr>
      <w:r>
        <w:rPr>
          <w:b/>
          <w:bCs/>
        </w:rPr>
        <w:t xml:space="preserve">Результаты приёмо-сдаточного контроля</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Compact"/>
            </w:pPr>
            <w:r>
              <w:t xml:space="preserve">Показатель</w:t>
            </w:r>
          </w:p>
        </w:tc>
        <w:tc>
          <w:tcPr/>
          <w:p>
            <w:pPr>
              <w:pStyle w:val="Compact"/>
              <w:jc w:val="right"/>
            </w:pPr>
            <w:r>
              <w:t xml:space="preserve">Норма по ТУ</w:t>
            </w:r>
          </w:p>
        </w:tc>
        <w:tc>
          <w:tcPr/>
          <w:p>
            <w:pPr>
              <w:pStyle w:val="Compact"/>
              <w:jc w:val="right"/>
            </w:pPr>
            <w:r>
              <w:t xml:space="preserve">Фактическое значение</w:t>
            </w:r>
          </w:p>
        </w:tc>
        <w:tc>
          <w:tcPr/>
          <w:p>
            <w:pPr>
              <w:pStyle w:val="Compact"/>
            </w:pPr>
            <w:r>
              <w:t xml:space="preserve">Соответствие</w:t>
            </w:r>
          </w:p>
        </w:tc>
      </w:tr>
      <w:tr>
        <w:tc>
          <w:tcPr/>
          <w:p>
            <w:pPr>
              <w:pStyle w:val="Compact"/>
            </w:pPr>
            <w:r>
              <w:t xml:space="preserve">Внешний вид</w:t>
            </w:r>
          </w:p>
        </w:tc>
        <w:tc>
          <w:tcPr/>
          <w:p>
            <w:pPr>
              <w:pStyle w:val="Compact"/>
              <w:jc w:val="right"/>
            </w:pPr>
            <w:r>
              <w:t xml:space="preserve">Соответствует требованиям ТУ</w:t>
            </w:r>
          </w:p>
        </w:tc>
        <w:tc>
          <w:tcPr/>
          <w:p>
            <w:pPr>
              <w:pStyle w:val="Compact"/>
            </w:pPr>
          </w:p>
        </w:tc>
        <w:tc>
          <w:tcPr/>
          <w:p>
            <w:pPr>
              <w:pStyle w:val="Compact"/>
            </w:pPr>
          </w:p>
        </w:tc>
      </w:tr>
      <w:tr>
        <w:tc>
          <w:tcPr/>
          <w:p>
            <w:pPr>
              <w:pStyle w:val="Compact"/>
            </w:pPr>
            <w:r>
              <w:t xml:space="preserve">Запах</w:t>
            </w:r>
          </w:p>
        </w:tc>
        <w:tc>
          <w:tcPr/>
          <w:p>
            <w:pPr>
              <w:pStyle w:val="Compact"/>
              <w:jc w:val="right"/>
            </w:pPr>
            <w:r>
              <w:t xml:space="preserve">Без постороннего запаха</w:t>
            </w:r>
          </w:p>
        </w:tc>
        <w:tc>
          <w:tcPr/>
          <w:p>
            <w:pPr>
              <w:pStyle w:val="Compact"/>
            </w:pPr>
          </w:p>
        </w:tc>
        <w:tc>
          <w:tcPr/>
          <w:p>
            <w:pPr>
              <w:pStyle w:val="Compact"/>
            </w:pPr>
          </w:p>
        </w:tc>
      </w:tr>
      <w:tr>
        <w:tc>
          <w:tcPr/>
          <w:p>
            <w:pPr>
              <w:pStyle w:val="Compact"/>
            </w:pPr>
            <w:r>
              <w:t xml:space="preserve">Посторонние примеси</w:t>
            </w:r>
          </w:p>
        </w:tc>
        <w:tc>
          <w:tcPr/>
          <w:p>
            <w:pPr>
              <w:pStyle w:val="Compact"/>
              <w:jc w:val="right"/>
            </w:pPr>
            <w:r>
              <w:t xml:space="preserve">Не допускаются</w:t>
            </w:r>
          </w:p>
        </w:tc>
        <w:tc>
          <w:tcPr/>
          <w:p>
            <w:pPr>
              <w:pStyle w:val="Compact"/>
            </w:pPr>
          </w:p>
        </w:tc>
        <w:tc>
          <w:tcPr/>
          <w:p>
            <w:pPr>
              <w:pStyle w:val="Compact"/>
            </w:pPr>
          </w:p>
        </w:tc>
      </w:tr>
      <w:tr>
        <w:tc>
          <w:tcPr/>
          <w:p>
            <w:pPr>
              <w:pStyle w:val="Compact"/>
            </w:pPr>
            <w:r>
              <w:t xml:space="preserve">Видимая плесень</w:t>
            </w:r>
          </w:p>
        </w:tc>
        <w:tc>
          <w:tcPr/>
          <w:p>
            <w:pPr>
              <w:pStyle w:val="Compact"/>
              <w:jc w:val="right"/>
            </w:pPr>
            <w:r>
              <w:t xml:space="preserve">Не допускается</w:t>
            </w:r>
          </w:p>
        </w:tc>
        <w:tc>
          <w:tcPr/>
          <w:p>
            <w:pPr>
              <w:pStyle w:val="Compact"/>
            </w:pPr>
          </w:p>
        </w:tc>
        <w:tc>
          <w:tcPr/>
          <w:p>
            <w:pPr>
              <w:pStyle w:val="Compact"/>
            </w:pPr>
          </w:p>
        </w:tc>
      </w:tr>
      <w:tr>
        <w:tc>
          <w:tcPr/>
          <w:p>
            <w:pPr>
              <w:pStyle w:val="Compact"/>
            </w:pPr>
            <w:r>
              <w:t xml:space="preserve">Видимая заражённость вредителями</w:t>
            </w:r>
          </w:p>
        </w:tc>
        <w:tc>
          <w:tcPr/>
          <w:p>
            <w:pPr>
              <w:pStyle w:val="Compact"/>
              <w:jc w:val="right"/>
            </w:pPr>
            <w:r>
              <w:t xml:space="preserve">Не допускается</w:t>
            </w:r>
          </w:p>
        </w:tc>
        <w:tc>
          <w:tcPr/>
          <w:p>
            <w:pPr>
              <w:pStyle w:val="Compact"/>
            </w:pPr>
          </w:p>
        </w:tc>
        <w:tc>
          <w:tcPr/>
          <w:p>
            <w:pPr>
              <w:pStyle w:val="Compact"/>
            </w:pPr>
          </w:p>
        </w:tc>
      </w:tr>
      <w:tr>
        <w:tc>
          <w:tcPr/>
          <w:p>
            <w:pPr>
              <w:pStyle w:val="Compact"/>
            </w:pPr>
            <w:r>
              <w:t xml:space="preserve">Признаки увлажнения и порчи</w:t>
            </w:r>
          </w:p>
        </w:tc>
        <w:tc>
          <w:tcPr/>
          <w:p>
            <w:pPr>
              <w:pStyle w:val="Compact"/>
              <w:jc w:val="right"/>
            </w:pPr>
            <w:r>
              <w:t xml:space="preserve">Не допускаются</w:t>
            </w:r>
          </w:p>
        </w:tc>
        <w:tc>
          <w:tcPr/>
          <w:p>
            <w:pPr>
              <w:pStyle w:val="Compact"/>
            </w:pPr>
          </w:p>
        </w:tc>
        <w:tc>
          <w:tcPr/>
          <w:p>
            <w:pPr>
              <w:pStyle w:val="Compact"/>
            </w:pPr>
          </w:p>
        </w:tc>
      </w:tr>
      <w:tr>
        <w:tc>
          <w:tcPr/>
          <w:p>
            <w:pPr>
              <w:pStyle w:val="Compact"/>
            </w:pPr>
            <w:r>
              <w:t xml:space="preserve">Массовая доля влаги, %, не более</w:t>
            </w:r>
          </w:p>
        </w:tc>
        <w:tc>
          <w:tcPr/>
          <w:p>
            <w:pPr>
              <w:pStyle w:val="Compact"/>
              <w:jc w:val="right"/>
            </w:pPr>
            <w:r>
              <w:t xml:space="preserve">10,0</w:t>
            </w:r>
          </w:p>
        </w:tc>
        <w:tc>
          <w:tcPr/>
          <w:p>
            <w:pPr>
              <w:pStyle w:val="Compact"/>
            </w:pPr>
          </w:p>
        </w:tc>
        <w:tc>
          <w:tcPr/>
          <w:p>
            <w:pPr>
              <w:pStyle w:val="Compact"/>
            </w:pPr>
          </w:p>
        </w:tc>
      </w:tr>
      <w:tr>
        <w:tc>
          <w:tcPr/>
          <w:p>
            <w:pPr>
              <w:pStyle w:val="Compact"/>
            </w:pPr>
            <w:r>
              <w:t xml:space="preserve">Массовая доля сырого протеина, %, не менее</w:t>
            </w:r>
          </w:p>
        </w:tc>
        <w:tc>
          <w:tcPr/>
          <w:p>
            <w:pPr>
              <w:pStyle w:val="Compact"/>
              <w:jc w:val="right"/>
            </w:pPr>
            <w:r>
              <w:t xml:space="preserve">22,0</w:t>
            </w:r>
          </w:p>
        </w:tc>
        <w:tc>
          <w:tcPr/>
          <w:p>
            <w:pPr>
              <w:pStyle w:val="Compact"/>
            </w:pPr>
          </w:p>
        </w:tc>
        <w:tc>
          <w:tcPr/>
          <w:p>
            <w:pPr>
              <w:pStyle w:val="Compact"/>
            </w:pPr>
          </w:p>
        </w:tc>
      </w:tr>
    </w:tbl>
    <w:p>
      <w:pPr>
        <w:pStyle w:val="BodyText"/>
      </w:pPr>
      <w:r>
        <w:t xml:space="preserve">Сведения о протоколах испытаний, если применимо:</w:t>
      </w:r>
    </w:p>
    <w:p>
      <w:r>
        <w:pict>
          <v:rect style="width:0;height:1.5pt" o:hralign="center" o:hrstd="t" o:hr="t"/>
        </w:pict>
      </w:r>
    </w:p>
    <w:p>
      <w:pPr>
        <w:pStyle w:val="FirstParagraph"/>
      </w:pPr>
      <w:r>
        <w:t xml:space="preserve">Заключение: партия соответствует / не соответствует требованиям ТУ 10.91.10-001-47033053-2026.</w:t>
      </w:r>
    </w:p>
    <w:p>
      <w:pPr>
        <w:pStyle w:val="BodyText"/>
      </w:pPr>
      <w:r>
        <w:t xml:space="preserve">Ответственное лицо: __________________ / __________________ /</w:t>
      </w:r>
    </w:p>
    <w:p>
      <w:pPr>
        <w:pStyle w:val="BodyText"/>
      </w:pPr>
      <w:r>
        <w:t xml:space="preserve">Дата оформления: «</w:t>
      </w:r>
      <w:r>
        <w:rPr>
          <w:b/>
          <w:bCs/>
          <w:i/>
          <w:iCs/>
        </w:rPr>
        <w:t xml:space="preserve">»</w:t>
      </w:r>
      <w:r>
        <w:rPr>
          <w:b/>
          <w:bCs/>
          <w:i/>
          <w:iCs/>
        </w:rPr>
        <w:t xml:space="preserve"> </w:t>
      </w:r>
      <w:r>
        <w:t xml:space="preserve">_______ 20__ г.</w:t>
      </w:r>
    </w:p>
    <w:p>
      <w:pPr>
        <w:pStyle w:val="BodyText"/>
      </w:pPr>
      <w:r>
        <w:t xml:space="preserve">М.П. при наличии</w:t>
      </w:r>
    </w:p>
    <w:p>
      <w:r>
        <w:pict>
          <v:rect style="width:0;height:1.5pt" o:hralign="center" o:hrstd="t" o:hr="t"/>
        </w:pict>
      </w:r>
    </w:p>
    <w:bookmarkEnd w:id="52"/>
    <w:bookmarkEnd w:id="53"/>
    <w:bookmarkStart w:id="55" w:name="приложение-б"/>
    <w:p>
      <w:pPr>
        <w:pStyle w:val="Heading1"/>
      </w:pPr>
      <w:r>
        <w:t xml:space="preserve">Приложение Б</w:t>
      </w:r>
    </w:p>
    <w:bookmarkStart w:id="54" w:name="X9bd2a19e8d2e2b71bb569566b8425947e202e36"/>
    <w:p>
      <w:pPr>
        <w:pStyle w:val="Heading2"/>
      </w:pPr>
      <w:r>
        <w:t xml:space="preserve">Рекомендуемая форма спецификации для покупателя</w:t>
      </w:r>
    </w:p>
    <w:bookmarkEnd w:id="54"/>
    <w:bookmarkEnd w:id="55"/>
    <w:bookmarkStart w:id="57" w:name="спецификация"/>
    <w:p>
      <w:pPr>
        <w:pStyle w:val="Heading1"/>
      </w:pPr>
      <w:r>
        <w:t xml:space="preserve">СПЕЦИФИКАЦИЯ</w:t>
      </w:r>
    </w:p>
    <w:bookmarkStart w:id="56" w:name="кормовой-белковый-продукт-герметиявит-1"/>
    <w:p>
      <w:pPr>
        <w:pStyle w:val="Heading2"/>
      </w:pPr>
      <w:r>
        <w:t xml:space="preserve">Кормовой белковый продукт «ГерметияВит»</w:t>
      </w:r>
    </w:p>
    <w:p>
      <w:pPr>
        <w:pStyle w:val="FirstParagraph"/>
      </w:pPr>
      <w:r>
        <w:t xml:space="preserve">Изготовитель: ООО «Карельские биотехнологии»</w:t>
      </w:r>
    </w:p>
    <w:p>
      <w:pPr>
        <w:pStyle w:val="BodyText"/>
      </w:pPr>
      <w:r>
        <w:t xml:space="preserve">Продукт: Кормовой белковый продукт «ГерметияВит»</w:t>
      </w:r>
    </w:p>
    <w:p>
      <w:pPr>
        <w:pStyle w:val="BodyText"/>
      </w:pPr>
      <w:r>
        <w:t xml:space="preserve">Назначение: для использования при производстве комбикормов и кормовых смесей в качестве кормового белкового компонента — источника сырого протеина в составе рецептур комбикормов и кормовых смесей.</w:t>
      </w:r>
    </w:p>
    <w:p>
      <w:pPr>
        <w:pStyle w:val="BodyText"/>
      </w:pPr>
      <w:r>
        <w:t xml:space="preserve">Краткое описание: сухая измельчённая кормовая смесь на основе продукта из высушенных личинок Hermetia illucens и дроблёного зерна пшеницы.</w:t>
      </w:r>
    </w:p>
    <w:p>
      <w:pPr>
        <w:pStyle w:val="BodyText"/>
      </w:pPr>
      <w:r>
        <w:t xml:space="preserve">Состав: продукт из высушенных личинок Hermetia illucens, дроблёное зерно пшеницы.</w:t>
      </w:r>
    </w:p>
    <w:p>
      <w:pPr>
        <w:pStyle w:val="BodyText"/>
      </w:pPr>
      <w:r>
        <w:t xml:space="preserve">Конкретное соотношение компонентов, рецептура и технологические параметры производства являются коммерческой тайной изготовителя.</w:t>
      </w:r>
    </w:p>
    <w:p>
      <w:pPr>
        <w:pStyle w:val="BodyText"/>
      </w:pPr>
      <w:r>
        <w:rPr>
          <w:b/>
          <w:bCs/>
        </w:rPr>
        <w:t xml:space="preserve">Гарантируемые показатели</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Показатель</w:t>
            </w:r>
          </w:p>
        </w:tc>
        <w:tc>
          <w:tcPr/>
          <w:p>
            <w:pPr>
              <w:pStyle w:val="Compact"/>
              <w:jc w:val="right"/>
            </w:pPr>
            <w:r>
              <w:t xml:space="preserve">Значение</w:t>
            </w:r>
          </w:p>
        </w:tc>
      </w:tr>
      <w:tr>
        <w:tc>
          <w:tcPr/>
          <w:p>
            <w:pPr>
              <w:pStyle w:val="Compact"/>
            </w:pPr>
            <w:r>
              <w:t xml:space="preserve">Массовая доля влаги, %, не более</w:t>
            </w:r>
          </w:p>
        </w:tc>
        <w:tc>
          <w:tcPr/>
          <w:p>
            <w:pPr>
              <w:pStyle w:val="Compact"/>
              <w:jc w:val="right"/>
            </w:pPr>
            <w:r>
              <w:t xml:space="preserve">10,0</w:t>
            </w:r>
          </w:p>
        </w:tc>
      </w:tr>
      <w:tr>
        <w:tc>
          <w:tcPr/>
          <w:p>
            <w:pPr>
              <w:pStyle w:val="Compact"/>
            </w:pPr>
            <w:r>
              <w:t xml:space="preserve">Массовая доля сырого протеина, %, не менее</w:t>
            </w:r>
          </w:p>
        </w:tc>
        <w:tc>
          <w:tcPr/>
          <w:p>
            <w:pPr>
              <w:pStyle w:val="Compact"/>
              <w:jc w:val="right"/>
            </w:pPr>
            <w:r>
              <w:t xml:space="preserve">22,0</w:t>
            </w:r>
          </w:p>
        </w:tc>
      </w:tr>
      <w:tr>
        <w:tc>
          <w:tcPr/>
          <w:p>
            <w:pPr>
              <w:pStyle w:val="Compact"/>
            </w:pPr>
            <w:r>
              <w:t xml:space="preserve">Массовая доля сырого жира, %</w:t>
            </w:r>
          </w:p>
        </w:tc>
        <w:tc>
          <w:tcPr/>
          <w:p>
            <w:pPr>
              <w:pStyle w:val="Compact"/>
              <w:jc w:val="right"/>
            </w:pPr>
            <w:r>
              <w:t xml:space="preserve">15,0–25,0</w:t>
            </w:r>
          </w:p>
        </w:tc>
      </w:tr>
      <w:tr>
        <w:tc>
          <w:tcPr/>
          <w:p>
            <w:pPr>
              <w:pStyle w:val="Compact"/>
            </w:pPr>
            <w:r>
              <w:t xml:space="preserve">Массовая доля сырой клетчатки, %, не более</w:t>
            </w:r>
          </w:p>
        </w:tc>
        <w:tc>
          <w:tcPr/>
          <w:p>
            <w:pPr>
              <w:pStyle w:val="Compact"/>
              <w:jc w:val="right"/>
            </w:pPr>
            <w:r>
              <w:t xml:space="preserve">14,0</w:t>
            </w:r>
          </w:p>
        </w:tc>
      </w:tr>
      <w:tr>
        <w:tc>
          <w:tcPr/>
          <w:p>
            <w:pPr>
              <w:pStyle w:val="Compact"/>
            </w:pPr>
            <w:r>
              <w:t xml:space="preserve">Массовая доля сырой золы, %, не более</w:t>
            </w:r>
          </w:p>
        </w:tc>
        <w:tc>
          <w:tcPr/>
          <w:p>
            <w:pPr>
              <w:pStyle w:val="Compact"/>
              <w:jc w:val="right"/>
            </w:pPr>
            <w:r>
              <w:t xml:space="preserve">5,0</w:t>
            </w:r>
          </w:p>
        </w:tc>
      </w:tr>
    </w:tbl>
    <w:p>
      <w:pPr>
        <w:pStyle w:val="BodyText"/>
      </w:pPr>
      <w:r>
        <w:t xml:space="preserve">Справочно: фактическая массовая доля сырого протеина в продукте ориентировочно составляет около 25,5%.</w:t>
      </w:r>
    </w:p>
    <w:p>
      <w:pPr>
        <w:pStyle w:val="BodyText"/>
      </w:pPr>
      <w:r>
        <w:rPr>
          <w:b/>
          <w:bCs/>
        </w:rPr>
        <w:t xml:space="preserve">Справочные показатели для рецептурной работы</w:t>
      </w:r>
    </w:p>
    <w:p>
      <w:pPr>
        <w:pStyle w:val="BodyText"/>
      </w:pPr>
      <w:r>
        <w:t xml:space="preserve">По запросу покупателя изготовитель может предоставить актуальные протоколы или информационные данные по следующим показателям:</w:t>
      </w:r>
    </w:p>
    <w:p>
      <w:pPr>
        <w:pStyle w:val="BodyText"/>
      </w:pPr>
      <w:r>
        <w:t xml:space="preserve">кальций;</w:t>
      </w:r>
    </w:p>
    <w:p>
      <w:pPr>
        <w:pStyle w:val="BodyText"/>
      </w:pPr>
      <w:r>
        <w:t xml:space="preserve">фосфор;</w:t>
      </w:r>
    </w:p>
    <w:p>
      <w:pPr>
        <w:pStyle w:val="BodyText"/>
      </w:pPr>
      <w:r>
        <w:t xml:space="preserve">аминокислотный профиль;</w:t>
      </w:r>
    </w:p>
    <w:p>
      <w:pPr>
        <w:pStyle w:val="BodyText"/>
      </w:pPr>
      <w:r>
        <w:t xml:space="preserve">жирнокислотный профиль;</w:t>
      </w:r>
    </w:p>
    <w:p>
      <w:pPr>
        <w:pStyle w:val="BodyText"/>
      </w:pPr>
      <w:r>
        <w:t xml:space="preserve">минеральный профиль;</w:t>
      </w:r>
    </w:p>
    <w:p>
      <w:pPr>
        <w:pStyle w:val="BodyText"/>
      </w:pPr>
      <w:r>
        <w:t xml:space="preserve">крупность помола / фракционный состав;</w:t>
      </w:r>
    </w:p>
    <w:p>
      <w:pPr>
        <w:pStyle w:val="BodyText"/>
      </w:pPr>
      <w:r>
        <w:t xml:space="preserve">показатели окислительной стабильности жира.</w:t>
      </w:r>
    </w:p>
    <w:p>
      <w:pPr>
        <w:pStyle w:val="BodyText"/>
      </w:pPr>
      <w:r>
        <w:t xml:space="preserve">Указанные показатели являются справочными, периодически подтверждаемыми или договорными и не входят в обязательный приёмо-сдаточный контроль каждой партии, если иное не предусмотрено договором поставки.</w:t>
      </w:r>
    </w:p>
    <w:p>
      <w:r>
        <w:pict>
          <v:rect style="width:0;height:1.5pt" o:hralign="center" o:hrstd="t" o:hr="t"/>
        </w:pict>
      </w:r>
    </w:p>
    <w:bookmarkEnd w:id="56"/>
    <w:bookmarkEnd w:id="57"/>
    <w:bookmarkStart w:id="59" w:name="приложение-в"/>
    <w:p>
      <w:pPr>
        <w:pStyle w:val="Heading1"/>
      </w:pPr>
      <w:r>
        <w:t xml:space="preserve">Приложение В</w:t>
      </w:r>
    </w:p>
    <w:bookmarkStart w:id="58" w:name="X6874e1a258c6f957bb5a82b3a4572b2921d0143"/>
    <w:p>
      <w:pPr>
        <w:pStyle w:val="Heading2"/>
      </w:pPr>
      <w:r>
        <w:t xml:space="preserve">Рекомендуемая матрица контроля качества и безопасности</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pPr>
            <w:r>
              <w:t xml:space="preserve">Показатель</w:t>
            </w:r>
          </w:p>
        </w:tc>
        <w:tc>
          <w:tcPr/>
          <w:p>
            <w:pPr>
              <w:pStyle w:val="Compact"/>
            </w:pPr>
            <w:r>
              <w:t xml:space="preserve">Объект контроля</w:t>
            </w:r>
          </w:p>
        </w:tc>
        <w:tc>
          <w:tcPr/>
          <w:p>
            <w:pPr>
              <w:pStyle w:val="Compact"/>
            </w:pPr>
            <w:r>
              <w:t xml:space="preserve">Вид контроля</w:t>
            </w:r>
          </w:p>
        </w:tc>
        <w:tc>
          <w:tcPr/>
          <w:p>
            <w:pPr>
              <w:pStyle w:val="Compact"/>
            </w:pPr>
            <w:r>
              <w:t xml:space="preserve">Рекомендуемая периодичность</w:t>
            </w:r>
          </w:p>
        </w:tc>
        <w:tc>
          <w:tcPr/>
          <w:p>
            <w:pPr>
              <w:pStyle w:val="Compact"/>
            </w:pPr>
            <w:r>
              <w:t xml:space="preserve">Включать в паспорт каждой партии</w:t>
            </w:r>
          </w:p>
        </w:tc>
      </w:tr>
      <w:tr>
        <w:tc>
          <w:tcPr/>
          <w:p>
            <w:pPr>
              <w:pStyle w:val="Compact"/>
            </w:pPr>
            <w:r>
              <w:t xml:space="preserve">Внешний вид</w:t>
            </w:r>
          </w:p>
        </w:tc>
        <w:tc>
          <w:tcPr/>
          <w:p>
            <w:pPr>
              <w:pStyle w:val="Compact"/>
            </w:pPr>
            <w:r>
              <w:t xml:space="preserve">Готовая продукция</w:t>
            </w:r>
          </w:p>
        </w:tc>
        <w:tc>
          <w:tcPr/>
          <w:p>
            <w:pPr>
              <w:pStyle w:val="Compact"/>
            </w:pPr>
            <w:r>
              <w:t xml:space="preserve">Приёмо-сдаточный</w:t>
            </w:r>
          </w:p>
        </w:tc>
        <w:tc>
          <w:tcPr/>
          <w:p>
            <w:pPr>
              <w:pStyle w:val="Compact"/>
            </w:pPr>
            <w:r>
              <w:t xml:space="preserve">Каждая партия</w:t>
            </w:r>
          </w:p>
        </w:tc>
        <w:tc>
          <w:tcPr/>
          <w:p>
            <w:pPr>
              <w:pStyle w:val="Compact"/>
            </w:pPr>
            <w:r>
              <w:t xml:space="preserve">Да</w:t>
            </w:r>
          </w:p>
        </w:tc>
      </w:tr>
      <w:tr>
        <w:tc>
          <w:tcPr/>
          <w:p>
            <w:pPr>
              <w:pStyle w:val="Compact"/>
            </w:pPr>
            <w:r>
              <w:t xml:space="preserve">Запах</w:t>
            </w:r>
          </w:p>
        </w:tc>
        <w:tc>
          <w:tcPr/>
          <w:p>
            <w:pPr>
              <w:pStyle w:val="Compact"/>
            </w:pPr>
            <w:r>
              <w:t xml:space="preserve">Готовая продукция</w:t>
            </w:r>
          </w:p>
        </w:tc>
        <w:tc>
          <w:tcPr/>
          <w:p>
            <w:pPr>
              <w:pStyle w:val="Compact"/>
            </w:pPr>
            <w:r>
              <w:t xml:space="preserve">Приёмо-сдаточный</w:t>
            </w:r>
          </w:p>
        </w:tc>
        <w:tc>
          <w:tcPr/>
          <w:p>
            <w:pPr>
              <w:pStyle w:val="Compact"/>
            </w:pPr>
            <w:r>
              <w:t xml:space="preserve">Каждая партия</w:t>
            </w:r>
          </w:p>
        </w:tc>
        <w:tc>
          <w:tcPr/>
          <w:p>
            <w:pPr>
              <w:pStyle w:val="Compact"/>
            </w:pPr>
            <w:r>
              <w:t xml:space="preserve">Да</w:t>
            </w:r>
          </w:p>
        </w:tc>
      </w:tr>
      <w:tr>
        <w:tc>
          <w:tcPr/>
          <w:p>
            <w:pPr>
              <w:pStyle w:val="Compact"/>
            </w:pPr>
            <w:r>
              <w:t xml:space="preserve">Посторонние примеси</w:t>
            </w:r>
          </w:p>
        </w:tc>
        <w:tc>
          <w:tcPr/>
          <w:p>
            <w:pPr>
              <w:pStyle w:val="Compact"/>
            </w:pPr>
            <w:r>
              <w:t xml:space="preserve">Готовая продукция</w:t>
            </w:r>
          </w:p>
        </w:tc>
        <w:tc>
          <w:tcPr/>
          <w:p>
            <w:pPr>
              <w:pStyle w:val="Compact"/>
            </w:pPr>
            <w:r>
              <w:t xml:space="preserve">Приёмо-сдаточный</w:t>
            </w:r>
          </w:p>
        </w:tc>
        <w:tc>
          <w:tcPr/>
          <w:p>
            <w:pPr>
              <w:pStyle w:val="Compact"/>
            </w:pPr>
            <w:r>
              <w:t xml:space="preserve">Каждая партия</w:t>
            </w:r>
          </w:p>
        </w:tc>
        <w:tc>
          <w:tcPr/>
          <w:p>
            <w:pPr>
              <w:pStyle w:val="Compact"/>
            </w:pPr>
            <w:r>
              <w:t xml:space="preserve">Да</w:t>
            </w:r>
          </w:p>
        </w:tc>
      </w:tr>
      <w:tr>
        <w:tc>
          <w:tcPr/>
          <w:p>
            <w:pPr>
              <w:pStyle w:val="Compact"/>
            </w:pPr>
            <w:r>
              <w:t xml:space="preserve">Видимая плесень</w:t>
            </w:r>
          </w:p>
        </w:tc>
        <w:tc>
          <w:tcPr/>
          <w:p>
            <w:pPr>
              <w:pStyle w:val="Compact"/>
            </w:pPr>
            <w:r>
              <w:t xml:space="preserve">Готовая продукция</w:t>
            </w:r>
          </w:p>
        </w:tc>
        <w:tc>
          <w:tcPr/>
          <w:p>
            <w:pPr>
              <w:pStyle w:val="Compact"/>
            </w:pPr>
            <w:r>
              <w:t xml:space="preserve">Приёмо-сдаточный</w:t>
            </w:r>
          </w:p>
        </w:tc>
        <w:tc>
          <w:tcPr/>
          <w:p>
            <w:pPr>
              <w:pStyle w:val="Compact"/>
            </w:pPr>
            <w:r>
              <w:t xml:space="preserve">Каждая партия</w:t>
            </w:r>
          </w:p>
        </w:tc>
        <w:tc>
          <w:tcPr/>
          <w:p>
            <w:pPr>
              <w:pStyle w:val="Compact"/>
            </w:pPr>
            <w:r>
              <w:t xml:space="preserve">Да</w:t>
            </w:r>
          </w:p>
        </w:tc>
      </w:tr>
      <w:tr>
        <w:tc>
          <w:tcPr/>
          <w:p>
            <w:pPr>
              <w:pStyle w:val="Compact"/>
            </w:pPr>
            <w:r>
              <w:t xml:space="preserve">Видимая заражённость вредителями</w:t>
            </w:r>
          </w:p>
        </w:tc>
        <w:tc>
          <w:tcPr/>
          <w:p>
            <w:pPr>
              <w:pStyle w:val="Compact"/>
            </w:pPr>
            <w:r>
              <w:t xml:space="preserve">Готовая продукция</w:t>
            </w:r>
          </w:p>
        </w:tc>
        <w:tc>
          <w:tcPr/>
          <w:p>
            <w:pPr>
              <w:pStyle w:val="Compact"/>
            </w:pPr>
            <w:r>
              <w:t xml:space="preserve">Приёмо-сдаточный</w:t>
            </w:r>
          </w:p>
        </w:tc>
        <w:tc>
          <w:tcPr/>
          <w:p>
            <w:pPr>
              <w:pStyle w:val="Compact"/>
            </w:pPr>
            <w:r>
              <w:t xml:space="preserve">Каждая партия</w:t>
            </w:r>
          </w:p>
        </w:tc>
        <w:tc>
          <w:tcPr/>
          <w:p>
            <w:pPr>
              <w:pStyle w:val="Compact"/>
            </w:pPr>
            <w:r>
              <w:t xml:space="preserve">Да</w:t>
            </w:r>
          </w:p>
        </w:tc>
      </w:tr>
      <w:tr>
        <w:tc>
          <w:tcPr/>
          <w:p>
            <w:pPr>
              <w:pStyle w:val="Compact"/>
            </w:pPr>
            <w:r>
              <w:t xml:space="preserve">Влага</w:t>
            </w:r>
          </w:p>
        </w:tc>
        <w:tc>
          <w:tcPr/>
          <w:p>
            <w:pPr>
              <w:pStyle w:val="Compact"/>
            </w:pPr>
            <w:r>
              <w:t xml:space="preserve">Готовая продукция</w:t>
            </w:r>
          </w:p>
        </w:tc>
        <w:tc>
          <w:tcPr/>
          <w:p>
            <w:pPr>
              <w:pStyle w:val="Compact"/>
            </w:pPr>
            <w:r>
              <w:t xml:space="preserve">Приёмо-сдаточный</w:t>
            </w:r>
          </w:p>
        </w:tc>
        <w:tc>
          <w:tcPr/>
          <w:p>
            <w:pPr>
              <w:pStyle w:val="Compact"/>
            </w:pPr>
            <w:r>
              <w:t xml:space="preserve">Каждая партия</w:t>
            </w:r>
          </w:p>
        </w:tc>
        <w:tc>
          <w:tcPr/>
          <w:p>
            <w:pPr>
              <w:pStyle w:val="Compact"/>
            </w:pPr>
            <w:r>
              <w:t xml:space="preserve">Да</w:t>
            </w:r>
          </w:p>
        </w:tc>
      </w:tr>
      <w:tr>
        <w:tc>
          <w:tcPr/>
          <w:p>
            <w:pPr>
              <w:pStyle w:val="Compact"/>
            </w:pPr>
            <w:r>
              <w:t xml:space="preserve">Сырой протеин</w:t>
            </w:r>
          </w:p>
        </w:tc>
        <w:tc>
          <w:tcPr/>
          <w:p>
            <w:pPr>
              <w:pStyle w:val="Compact"/>
            </w:pPr>
            <w:r>
              <w:t xml:space="preserve">Готовая продукция</w:t>
            </w:r>
          </w:p>
        </w:tc>
        <w:tc>
          <w:tcPr/>
          <w:p>
            <w:pPr>
              <w:pStyle w:val="Compact"/>
            </w:pPr>
            <w:r>
              <w:t xml:space="preserve">Приёмо-сдаточный</w:t>
            </w:r>
          </w:p>
        </w:tc>
        <w:tc>
          <w:tcPr/>
          <w:p>
            <w:pPr>
              <w:pStyle w:val="Compact"/>
            </w:pPr>
            <w:r>
              <w:t xml:space="preserve">Каждая партия</w:t>
            </w:r>
          </w:p>
        </w:tc>
        <w:tc>
          <w:tcPr/>
          <w:p>
            <w:pPr>
              <w:pStyle w:val="Compact"/>
            </w:pPr>
            <w:r>
              <w:t xml:space="preserve">Да</w:t>
            </w:r>
          </w:p>
        </w:tc>
      </w:tr>
      <w:tr>
        <w:tc>
          <w:tcPr/>
          <w:p>
            <w:pPr>
              <w:pStyle w:val="Compact"/>
            </w:pPr>
            <w:r>
              <w:t xml:space="preserve">Сырой жир</w:t>
            </w:r>
          </w:p>
        </w:tc>
        <w:tc>
          <w:tcPr/>
          <w:p>
            <w:pPr>
              <w:pStyle w:val="Compact"/>
            </w:pPr>
            <w:r>
              <w:t xml:space="preserve">Готовая продукция</w:t>
            </w:r>
          </w:p>
        </w:tc>
        <w:tc>
          <w:tcPr/>
          <w:p>
            <w:pPr>
              <w:pStyle w:val="Compact"/>
            </w:pPr>
            <w:r>
              <w:t xml:space="preserve">Периодический</w:t>
            </w:r>
          </w:p>
        </w:tc>
        <w:tc>
          <w:tcPr/>
          <w:p>
            <w:pPr>
              <w:pStyle w:val="Compact"/>
            </w:pPr>
            <w:r>
              <w:t xml:space="preserve">Не реже 1 раза в квартал или по программе контроля</w:t>
            </w:r>
          </w:p>
        </w:tc>
        <w:tc>
          <w:tcPr/>
          <w:p>
            <w:pPr>
              <w:pStyle w:val="Compact"/>
            </w:pPr>
            <w:r>
              <w:t xml:space="preserve">Нет, кроме случаев фактического контроля партии</w:t>
            </w:r>
          </w:p>
        </w:tc>
      </w:tr>
      <w:tr>
        <w:tc>
          <w:tcPr/>
          <w:p>
            <w:pPr>
              <w:pStyle w:val="Compact"/>
            </w:pPr>
            <w:r>
              <w:t xml:space="preserve">Сырая клетчатка</w:t>
            </w:r>
          </w:p>
        </w:tc>
        <w:tc>
          <w:tcPr/>
          <w:p>
            <w:pPr>
              <w:pStyle w:val="Compact"/>
            </w:pPr>
            <w:r>
              <w:t xml:space="preserve">Готовая продукция</w:t>
            </w:r>
          </w:p>
        </w:tc>
        <w:tc>
          <w:tcPr/>
          <w:p>
            <w:pPr>
              <w:pStyle w:val="Compact"/>
            </w:pPr>
            <w:r>
              <w:t xml:space="preserve">Периодический</w:t>
            </w:r>
          </w:p>
        </w:tc>
        <w:tc>
          <w:tcPr/>
          <w:p>
            <w:pPr>
              <w:pStyle w:val="Compact"/>
            </w:pPr>
            <w:r>
              <w:t xml:space="preserve">Не реже 1 раза в квартал или по программе контроля</w:t>
            </w:r>
          </w:p>
        </w:tc>
        <w:tc>
          <w:tcPr/>
          <w:p>
            <w:pPr>
              <w:pStyle w:val="Compact"/>
            </w:pPr>
            <w:r>
              <w:t xml:space="preserve">Нет, кроме случаев фактического контроля партии</w:t>
            </w:r>
          </w:p>
        </w:tc>
      </w:tr>
      <w:tr>
        <w:tc>
          <w:tcPr/>
          <w:p>
            <w:pPr>
              <w:pStyle w:val="Compact"/>
            </w:pPr>
            <w:r>
              <w:t xml:space="preserve">Сырая зола</w:t>
            </w:r>
          </w:p>
        </w:tc>
        <w:tc>
          <w:tcPr/>
          <w:p>
            <w:pPr>
              <w:pStyle w:val="Compact"/>
            </w:pPr>
            <w:r>
              <w:t xml:space="preserve">Готовая продукция</w:t>
            </w:r>
          </w:p>
        </w:tc>
        <w:tc>
          <w:tcPr/>
          <w:p>
            <w:pPr>
              <w:pStyle w:val="Compact"/>
            </w:pPr>
            <w:r>
              <w:t xml:space="preserve">Периодический</w:t>
            </w:r>
          </w:p>
        </w:tc>
        <w:tc>
          <w:tcPr/>
          <w:p>
            <w:pPr>
              <w:pStyle w:val="Compact"/>
            </w:pPr>
            <w:r>
              <w:t xml:space="preserve">Не реже 1 раза в квартал или по программе контроля</w:t>
            </w:r>
          </w:p>
        </w:tc>
        <w:tc>
          <w:tcPr/>
          <w:p>
            <w:pPr>
              <w:pStyle w:val="Compact"/>
            </w:pPr>
            <w:r>
              <w:t xml:space="preserve">Нет, кроме случаев фактического контроля партии</w:t>
            </w:r>
          </w:p>
        </w:tc>
      </w:tr>
      <w:tr>
        <w:tc>
          <w:tcPr/>
          <w:p>
            <w:pPr>
              <w:pStyle w:val="Compact"/>
            </w:pPr>
            <w:r>
              <w:t xml:space="preserve">Микробиология</w:t>
            </w:r>
          </w:p>
        </w:tc>
        <w:tc>
          <w:tcPr/>
          <w:p>
            <w:pPr>
              <w:pStyle w:val="Compact"/>
            </w:pPr>
            <w:r>
              <w:t xml:space="preserve">Готовая продукция</w:t>
            </w:r>
          </w:p>
        </w:tc>
        <w:tc>
          <w:tcPr/>
          <w:p>
            <w:pPr>
              <w:pStyle w:val="Compact"/>
            </w:pPr>
            <w:r>
              <w:t xml:space="preserve">Декларационный / периодический</w:t>
            </w:r>
          </w:p>
        </w:tc>
        <w:tc>
          <w:tcPr/>
          <w:p>
            <w:pPr>
              <w:pStyle w:val="Compact"/>
            </w:pPr>
            <w:r>
              <w:t xml:space="preserve">При декларировании, далее по программе контроля</w:t>
            </w:r>
          </w:p>
        </w:tc>
        <w:tc>
          <w:tcPr/>
          <w:p>
            <w:pPr>
              <w:pStyle w:val="Compact"/>
            </w:pPr>
            <w:r>
              <w:t xml:space="preserve">Нет, предоставлять протоколом</w:t>
            </w:r>
          </w:p>
        </w:tc>
      </w:tr>
      <w:tr>
        <w:tc>
          <w:tcPr/>
          <w:p>
            <w:pPr>
              <w:pStyle w:val="Compact"/>
            </w:pPr>
            <w:r>
              <w:t xml:space="preserve">Токсичные элементы</w:t>
            </w:r>
          </w:p>
        </w:tc>
        <w:tc>
          <w:tcPr/>
          <w:p>
            <w:pPr>
              <w:pStyle w:val="Compact"/>
            </w:pPr>
            <w:r>
              <w:t xml:space="preserve">Сырьё / готовая продукция</w:t>
            </w:r>
          </w:p>
        </w:tc>
        <w:tc>
          <w:tcPr/>
          <w:p>
            <w:pPr>
              <w:pStyle w:val="Compact"/>
            </w:pPr>
            <w:r>
              <w:t xml:space="preserve">Декларационный / периодический</w:t>
            </w:r>
          </w:p>
        </w:tc>
        <w:tc>
          <w:tcPr/>
          <w:p>
            <w:pPr>
              <w:pStyle w:val="Compact"/>
            </w:pPr>
            <w:r>
              <w:t xml:space="preserve">При декларировании, далее по программе контроля</w:t>
            </w:r>
          </w:p>
        </w:tc>
        <w:tc>
          <w:tcPr/>
          <w:p>
            <w:pPr>
              <w:pStyle w:val="Compact"/>
            </w:pPr>
            <w:r>
              <w:t xml:space="preserve">Нет, предоставлять протоколом</w:t>
            </w:r>
          </w:p>
        </w:tc>
      </w:tr>
      <w:tr>
        <w:tc>
          <w:tcPr/>
          <w:p>
            <w:pPr>
              <w:pStyle w:val="Compact"/>
            </w:pPr>
            <w:r>
              <w:t xml:space="preserve">Микотоксины</w:t>
            </w:r>
          </w:p>
        </w:tc>
        <w:tc>
          <w:tcPr/>
          <w:p>
            <w:pPr>
              <w:pStyle w:val="Compact"/>
            </w:pPr>
            <w:r>
              <w:t xml:space="preserve">Зерновое сырьё / готовая продукция</w:t>
            </w:r>
          </w:p>
        </w:tc>
        <w:tc>
          <w:tcPr/>
          <w:p>
            <w:pPr>
              <w:pStyle w:val="Compact"/>
            </w:pPr>
            <w:r>
              <w:t xml:space="preserve">Декларационный / периодический</w:t>
            </w:r>
          </w:p>
        </w:tc>
        <w:tc>
          <w:tcPr/>
          <w:p>
            <w:pPr>
              <w:pStyle w:val="Compact"/>
            </w:pPr>
            <w:r>
              <w:t xml:space="preserve">При декларировании, далее по программе контроля</w:t>
            </w:r>
          </w:p>
        </w:tc>
        <w:tc>
          <w:tcPr/>
          <w:p>
            <w:pPr>
              <w:pStyle w:val="Compact"/>
            </w:pPr>
            <w:r>
              <w:t xml:space="preserve">Нет, предоставлять протоколом</w:t>
            </w:r>
          </w:p>
        </w:tc>
      </w:tr>
      <w:tr>
        <w:tc>
          <w:tcPr/>
          <w:p>
            <w:pPr>
              <w:pStyle w:val="Compact"/>
            </w:pPr>
            <w:r>
              <w:t xml:space="preserve">Пестициды</w:t>
            </w:r>
          </w:p>
        </w:tc>
        <w:tc>
          <w:tcPr/>
          <w:p>
            <w:pPr>
              <w:pStyle w:val="Compact"/>
            </w:pPr>
            <w:r>
              <w:t xml:space="preserve">Зерновое сырьё / готовая продукция</w:t>
            </w:r>
          </w:p>
        </w:tc>
        <w:tc>
          <w:tcPr/>
          <w:p>
            <w:pPr>
              <w:pStyle w:val="Compact"/>
            </w:pPr>
            <w:r>
              <w:t xml:space="preserve">Декларационный / периодический</w:t>
            </w:r>
          </w:p>
        </w:tc>
        <w:tc>
          <w:tcPr/>
          <w:p>
            <w:pPr>
              <w:pStyle w:val="Compact"/>
            </w:pPr>
            <w:r>
              <w:t xml:space="preserve">При декларировании, далее по программе контроля</w:t>
            </w:r>
          </w:p>
        </w:tc>
        <w:tc>
          <w:tcPr/>
          <w:p>
            <w:pPr>
              <w:pStyle w:val="Compact"/>
            </w:pPr>
            <w:r>
              <w:t xml:space="preserve">Нет, предоставлять протоколом</w:t>
            </w:r>
          </w:p>
        </w:tc>
      </w:tr>
      <w:tr>
        <w:tc>
          <w:tcPr/>
          <w:p>
            <w:pPr>
              <w:pStyle w:val="Compact"/>
            </w:pPr>
            <w:r>
              <w:t xml:space="preserve">Радиологические показатели</w:t>
            </w:r>
          </w:p>
        </w:tc>
        <w:tc>
          <w:tcPr/>
          <w:p>
            <w:pPr>
              <w:pStyle w:val="Compact"/>
            </w:pPr>
            <w:r>
              <w:t xml:space="preserve">Сырьё / готовая продукция</w:t>
            </w:r>
          </w:p>
        </w:tc>
        <w:tc>
          <w:tcPr/>
          <w:p>
            <w:pPr>
              <w:pStyle w:val="Compact"/>
            </w:pPr>
            <w:r>
              <w:t xml:space="preserve">Декларационный / периодический</w:t>
            </w:r>
          </w:p>
        </w:tc>
        <w:tc>
          <w:tcPr/>
          <w:p>
            <w:pPr>
              <w:pStyle w:val="Compact"/>
            </w:pPr>
            <w:r>
              <w:t xml:space="preserve">При декларировании, далее по программе контроля</w:t>
            </w:r>
          </w:p>
        </w:tc>
        <w:tc>
          <w:tcPr/>
          <w:p>
            <w:pPr>
              <w:pStyle w:val="Compact"/>
            </w:pPr>
            <w:r>
              <w:t xml:space="preserve">Нет, предоставлять протоколом</w:t>
            </w:r>
          </w:p>
        </w:tc>
      </w:tr>
      <w:tr>
        <w:tc>
          <w:tcPr/>
          <w:p>
            <w:pPr>
              <w:pStyle w:val="Compact"/>
            </w:pPr>
            <w:r>
              <w:t xml:space="preserve">ГМО</w:t>
            </w:r>
          </w:p>
        </w:tc>
        <w:tc>
          <w:tcPr/>
          <w:p>
            <w:pPr>
              <w:pStyle w:val="Compact"/>
            </w:pPr>
            <w:r>
              <w:t xml:space="preserve">Сырьё / готовая продукция</w:t>
            </w:r>
          </w:p>
        </w:tc>
        <w:tc>
          <w:tcPr/>
          <w:p>
            <w:pPr>
              <w:pStyle w:val="Compact"/>
            </w:pPr>
            <w:r>
              <w:t xml:space="preserve">При необходимости</w:t>
            </w:r>
          </w:p>
        </w:tc>
        <w:tc>
          <w:tcPr/>
          <w:p>
            <w:pPr>
              <w:pStyle w:val="Compact"/>
            </w:pPr>
            <w:r>
              <w:t xml:space="preserve">По требованиям декларирования, покупателя или программы контроля</w:t>
            </w:r>
          </w:p>
        </w:tc>
        <w:tc>
          <w:tcPr/>
          <w:p>
            <w:pPr>
              <w:pStyle w:val="Compact"/>
            </w:pPr>
            <w:r>
              <w:t xml:space="preserve">Нет, предоставлять протоколом</w:t>
            </w:r>
          </w:p>
        </w:tc>
      </w:tr>
      <w:tr>
        <w:tc>
          <w:tcPr/>
          <w:p>
            <w:pPr>
              <w:pStyle w:val="Compact"/>
            </w:pPr>
            <w:r>
              <w:t xml:space="preserve">Аминокислотный профиль</w:t>
            </w:r>
          </w:p>
        </w:tc>
        <w:tc>
          <w:tcPr/>
          <w:p>
            <w:pPr>
              <w:pStyle w:val="Compact"/>
            </w:pPr>
            <w:r>
              <w:t xml:space="preserve">Готовая продукция</w:t>
            </w:r>
          </w:p>
        </w:tc>
        <w:tc>
          <w:tcPr/>
          <w:p>
            <w:pPr>
              <w:pStyle w:val="Compact"/>
            </w:pPr>
            <w:r>
              <w:t xml:space="preserve">По запросу / периодический</w:t>
            </w:r>
          </w:p>
        </w:tc>
        <w:tc>
          <w:tcPr/>
          <w:p>
            <w:pPr>
              <w:pStyle w:val="Compact"/>
            </w:pPr>
            <w:r>
              <w:t xml:space="preserve">По запросу покупателя или программе контроля</w:t>
            </w:r>
          </w:p>
        </w:tc>
        <w:tc>
          <w:tcPr/>
          <w:p>
            <w:pPr>
              <w:pStyle w:val="Compact"/>
            </w:pPr>
            <w:r>
              <w:t xml:space="preserve">Нет</w:t>
            </w:r>
          </w:p>
        </w:tc>
      </w:tr>
      <w:tr>
        <w:tc>
          <w:tcPr/>
          <w:p>
            <w:pPr>
              <w:pStyle w:val="Compact"/>
            </w:pPr>
            <w:r>
              <w:t xml:space="preserve">Минеральный профиль</w:t>
            </w:r>
          </w:p>
        </w:tc>
        <w:tc>
          <w:tcPr/>
          <w:p>
            <w:pPr>
              <w:pStyle w:val="Compact"/>
            </w:pPr>
            <w:r>
              <w:t xml:space="preserve">Готовая продукция</w:t>
            </w:r>
          </w:p>
        </w:tc>
        <w:tc>
          <w:tcPr/>
          <w:p>
            <w:pPr>
              <w:pStyle w:val="Compact"/>
            </w:pPr>
            <w:r>
              <w:t xml:space="preserve">По запросу / периодический</w:t>
            </w:r>
          </w:p>
        </w:tc>
        <w:tc>
          <w:tcPr/>
          <w:p>
            <w:pPr>
              <w:pStyle w:val="Compact"/>
            </w:pPr>
            <w:r>
              <w:t xml:space="preserve">По запросу покупателя или программе контроля</w:t>
            </w:r>
          </w:p>
        </w:tc>
        <w:tc>
          <w:tcPr/>
          <w:p>
            <w:pPr>
              <w:pStyle w:val="Compact"/>
            </w:pPr>
            <w:r>
              <w:t xml:space="preserve">Нет</w:t>
            </w:r>
          </w:p>
        </w:tc>
      </w:tr>
      <w:tr>
        <w:tc>
          <w:tcPr/>
          <w:p>
            <w:pPr>
              <w:pStyle w:val="Compact"/>
            </w:pPr>
            <w:r>
              <w:t xml:space="preserve">Жирнокислотный профиль</w:t>
            </w:r>
          </w:p>
        </w:tc>
        <w:tc>
          <w:tcPr/>
          <w:p>
            <w:pPr>
              <w:pStyle w:val="Compact"/>
            </w:pPr>
            <w:r>
              <w:t xml:space="preserve">Готовая продукция</w:t>
            </w:r>
          </w:p>
        </w:tc>
        <w:tc>
          <w:tcPr/>
          <w:p>
            <w:pPr>
              <w:pStyle w:val="Compact"/>
            </w:pPr>
            <w:r>
              <w:t xml:space="preserve">По запросу / периодический</w:t>
            </w:r>
          </w:p>
        </w:tc>
        <w:tc>
          <w:tcPr/>
          <w:p>
            <w:pPr>
              <w:pStyle w:val="Compact"/>
            </w:pPr>
            <w:r>
              <w:t xml:space="preserve">По запросу покупателя или программе контроля</w:t>
            </w:r>
          </w:p>
        </w:tc>
        <w:tc>
          <w:tcPr/>
          <w:p>
            <w:pPr>
              <w:pStyle w:val="Compact"/>
            </w:pPr>
            <w:r>
              <w:t xml:space="preserve">Нет</w:t>
            </w:r>
          </w:p>
        </w:tc>
      </w:tr>
      <w:tr>
        <w:tc>
          <w:tcPr/>
          <w:p>
            <w:pPr>
              <w:pStyle w:val="Compact"/>
            </w:pPr>
            <w:r>
              <w:t xml:space="preserve">Крупность помола / фракционный состав</w:t>
            </w:r>
          </w:p>
        </w:tc>
        <w:tc>
          <w:tcPr/>
          <w:p>
            <w:pPr>
              <w:pStyle w:val="Compact"/>
            </w:pPr>
            <w:r>
              <w:t xml:space="preserve">Готовая продукция</w:t>
            </w:r>
          </w:p>
        </w:tc>
        <w:tc>
          <w:tcPr/>
          <w:p>
            <w:pPr>
              <w:pStyle w:val="Compact"/>
            </w:pPr>
            <w:r>
              <w:t xml:space="preserve">Периодический / договорной</w:t>
            </w:r>
          </w:p>
        </w:tc>
        <w:tc>
          <w:tcPr/>
          <w:p>
            <w:pPr>
              <w:pStyle w:val="Compact"/>
            </w:pPr>
            <w:r>
              <w:t xml:space="preserve">По спецификации или договору</w:t>
            </w:r>
          </w:p>
        </w:tc>
        <w:tc>
          <w:tcPr/>
          <w:p>
            <w:pPr>
              <w:pStyle w:val="Compact"/>
            </w:pPr>
            <w:r>
              <w:t xml:space="preserve">Нет, кроме случаев фактического контроля партии</w:t>
            </w:r>
          </w:p>
        </w:tc>
      </w:tr>
      <w:tr>
        <w:tc>
          <w:tcPr/>
          <w:p>
            <w:pPr>
              <w:pStyle w:val="Compact"/>
            </w:pPr>
            <w:r>
              <w:t xml:space="preserve">Перекиси / перекисное число жира</w:t>
            </w:r>
          </w:p>
        </w:tc>
        <w:tc>
          <w:tcPr/>
          <w:p>
            <w:pPr>
              <w:pStyle w:val="Compact"/>
            </w:pPr>
            <w:r>
              <w:t xml:space="preserve">Готовая продукция</w:t>
            </w:r>
          </w:p>
        </w:tc>
        <w:tc>
          <w:tcPr/>
          <w:p>
            <w:pPr>
              <w:pStyle w:val="Compact"/>
            </w:pPr>
            <w:r>
              <w:t xml:space="preserve">Декларационный / периодический</w:t>
            </w:r>
          </w:p>
        </w:tc>
        <w:tc>
          <w:tcPr/>
          <w:p>
            <w:pPr>
              <w:pStyle w:val="Compact"/>
            </w:pPr>
            <w:r>
              <w:t xml:space="preserve">При декларировании, далее по программе контроля</w:t>
            </w:r>
          </w:p>
        </w:tc>
        <w:tc>
          <w:tcPr/>
          <w:p>
            <w:pPr>
              <w:pStyle w:val="Compact"/>
            </w:pPr>
            <w:r>
              <w:t xml:space="preserve">Нет, предоставлять протоколом</w:t>
            </w:r>
          </w:p>
        </w:tc>
      </w:tr>
      <w:tr>
        <w:tc>
          <w:tcPr/>
          <w:p>
            <w:pPr>
              <w:pStyle w:val="Compact"/>
            </w:pPr>
            <w:r>
              <w:t xml:space="preserve">Кислотное число жира</w:t>
            </w:r>
          </w:p>
        </w:tc>
        <w:tc>
          <w:tcPr/>
          <w:p>
            <w:pPr>
              <w:pStyle w:val="Compact"/>
            </w:pPr>
            <w:r>
              <w:t xml:space="preserve">Готовая продукция</w:t>
            </w:r>
          </w:p>
        </w:tc>
        <w:tc>
          <w:tcPr/>
          <w:p>
            <w:pPr>
              <w:pStyle w:val="Compact"/>
            </w:pPr>
            <w:r>
              <w:t xml:space="preserve">Периодический / договорной</w:t>
            </w:r>
          </w:p>
        </w:tc>
        <w:tc>
          <w:tcPr/>
          <w:p>
            <w:pPr>
              <w:pStyle w:val="Compact"/>
            </w:pPr>
            <w:r>
              <w:t xml:space="preserve">По программе стабильности или по запросу покупателя</w:t>
            </w:r>
          </w:p>
        </w:tc>
        <w:tc>
          <w:tcPr/>
          <w:p>
            <w:pPr>
              <w:pStyle w:val="Compact"/>
            </w:pPr>
            <w:r>
              <w:t xml:space="preserve">Нет</w:t>
            </w:r>
          </w:p>
        </w:tc>
      </w:tr>
      <w:tr>
        <w:tc>
          <w:tcPr/>
          <w:p>
            <w:pPr>
              <w:pStyle w:val="Compact"/>
            </w:pPr>
            <w:r>
              <w:t xml:space="preserve">Афлатоксин B1</w:t>
            </w:r>
          </w:p>
        </w:tc>
        <w:tc>
          <w:tcPr/>
          <w:p>
            <w:pPr>
              <w:pStyle w:val="Compact"/>
            </w:pPr>
            <w:r>
              <w:t xml:space="preserve">Готовая продукция / зерновой компонент</w:t>
            </w:r>
          </w:p>
        </w:tc>
        <w:tc>
          <w:tcPr/>
          <w:p>
            <w:pPr>
              <w:pStyle w:val="Compact"/>
            </w:pPr>
            <w:r>
              <w:t xml:space="preserve">Декларационный / периодический</w:t>
            </w:r>
          </w:p>
        </w:tc>
        <w:tc>
          <w:tcPr/>
          <w:p>
            <w:pPr>
              <w:pStyle w:val="Compact"/>
            </w:pPr>
            <w:r>
              <w:t xml:space="preserve">При декларировании, далее по программе контроля</w:t>
            </w:r>
          </w:p>
        </w:tc>
        <w:tc>
          <w:tcPr/>
          <w:p>
            <w:pPr>
              <w:pStyle w:val="Compact"/>
            </w:pPr>
            <w:r>
              <w:t xml:space="preserve">Нет, предоставлять протоколом</w:t>
            </w:r>
          </w:p>
        </w:tc>
      </w:tr>
      <w:tr>
        <w:tc>
          <w:tcPr/>
          <w:p>
            <w:pPr>
              <w:pStyle w:val="Compact"/>
            </w:pPr>
            <w:r>
              <w:t xml:space="preserve">Зеараленон</w:t>
            </w:r>
          </w:p>
        </w:tc>
        <w:tc>
          <w:tcPr/>
          <w:p>
            <w:pPr>
              <w:pStyle w:val="Compact"/>
            </w:pPr>
            <w:r>
              <w:t xml:space="preserve">Готовая продукция / зерновой компонент</w:t>
            </w:r>
          </w:p>
        </w:tc>
        <w:tc>
          <w:tcPr/>
          <w:p>
            <w:pPr>
              <w:pStyle w:val="Compact"/>
            </w:pPr>
            <w:r>
              <w:t xml:space="preserve">Декларационный / периодический</w:t>
            </w:r>
          </w:p>
        </w:tc>
        <w:tc>
          <w:tcPr/>
          <w:p>
            <w:pPr>
              <w:pStyle w:val="Compact"/>
            </w:pPr>
            <w:r>
              <w:t xml:space="preserve">При декларировании, далее по программе контроля</w:t>
            </w:r>
          </w:p>
        </w:tc>
        <w:tc>
          <w:tcPr/>
          <w:p>
            <w:pPr>
              <w:pStyle w:val="Compact"/>
            </w:pPr>
            <w:r>
              <w:t xml:space="preserve">Нет, предоставлять протоколом</w:t>
            </w:r>
          </w:p>
        </w:tc>
      </w:tr>
      <w:tr>
        <w:tc>
          <w:tcPr/>
          <w:p>
            <w:pPr>
              <w:pStyle w:val="Compact"/>
            </w:pPr>
            <w:r>
              <w:t xml:space="preserve">T-2 токсин</w:t>
            </w:r>
          </w:p>
        </w:tc>
        <w:tc>
          <w:tcPr/>
          <w:p>
            <w:pPr>
              <w:pStyle w:val="Compact"/>
            </w:pPr>
            <w:r>
              <w:t xml:space="preserve">Готовая продукция / зерновой компонент</w:t>
            </w:r>
          </w:p>
        </w:tc>
        <w:tc>
          <w:tcPr/>
          <w:p>
            <w:pPr>
              <w:pStyle w:val="Compact"/>
            </w:pPr>
            <w:r>
              <w:t xml:space="preserve">Декларационный / периодический</w:t>
            </w:r>
          </w:p>
        </w:tc>
        <w:tc>
          <w:tcPr/>
          <w:p>
            <w:pPr>
              <w:pStyle w:val="Compact"/>
            </w:pPr>
            <w:r>
              <w:t xml:space="preserve">При декларировании, далее по программе контроля</w:t>
            </w:r>
          </w:p>
        </w:tc>
        <w:tc>
          <w:tcPr/>
          <w:p>
            <w:pPr>
              <w:pStyle w:val="Compact"/>
            </w:pPr>
            <w:r>
              <w:t xml:space="preserve">Нет, предоставлять протоколом</w:t>
            </w:r>
          </w:p>
        </w:tc>
      </w:tr>
      <w:tr>
        <w:tc>
          <w:tcPr/>
          <w:p>
            <w:pPr>
              <w:pStyle w:val="Compact"/>
            </w:pPr>
            <w:r>
              <w:t xml:space="preserve">Дезоксиниваленол / DON</w:t>
            </w:r>
          </w:p>
        </w:tc>
        <w:tc>
          <w:tcPr/>
          <w:p>
            <w:pPr>
              <w:pStyle w:val="Compact"/>
            </w:pPr>
            <w:r>
              <w:t xml:space="preserve">Готовая продукция / зерновой компонент</w:t>
            </w:r>
          </w:p>
        </w:tc>
        <w:tc>
          <w:tcPr/>
          <w:p>
            <w:pPr>
              <w:pStyle w:val="Compact"/>
            </w:pPr>
            <w:r>
              <w:t xml:space="preserve">Декларационный / периодический</w:t>
            </w:r>
          </w:p>
        </w:tc>
        <w:tc>
          <w:tcPr/>
          <w:p>
            <w:pPr>
              <w:pStyle w:val="Compact"/>
            </w:pPr>
            <w:r>
              <w:t xml:space="preserve">При декларировании, далее по программе контроля</w:t>
            </w:r>
          </w:p>
        </w:tc>
        <w:tc>
          <w:tcPr/>
          <w:p>
            <w:pPr>
              <w:pStyle w:val="Compact"/>
            </w:pPr>
            <w:r>
              <w:t xml:space="preserve">Нет, предоставлять протоколом</w:t>
            </w:r>
          </w:p>
        </w:tc>
      </w:tr>
      <w:tr>
        <w:tc>
          <w:tcPr/>
          <w:p>
            <w:pPr>
              <w:pStyle w:val="Compact"/>
            </w:pPr>
            <w:r>
              <w:t xml:space="preserve">Охратоксин A</w:t>
            </w:r>
          </w:p>
        </w:tc>
        <w:tc>
          <w:tcPr/>
          <w:p>
            <w:pPr>
              <w:pStyle w:val="Compact"/>
            </w:pPr>
            <w:r>
              <w:t xml:space="preserve">Готовая продукция / зерновой компонент</w:t>
            </w:r>
          </w:p>
        </w:tc>
        <w:tc>
          <w:tcPr/>
          <w:p>
            <w:pPr>
              <w:pStyle w:val="Compact"/>
            </w:pPr>
            <w:r>
              <w:t xml:space="preserve">Декларационный / периодический</w:t>
            </w:r>
          </w:p>
        </w:tc>
        <w:tc>
          <w:tcPr/>
          <w:p>
            <w:pPr>
              <w:pStyle w:val="Compact"/>
            </w:pPr>
            <w:r>
              <w:t xml:space="preserve">При декларировании, далее по программе контроля</w:t>
            </w:r>
          </w:p>
        </w:tc>
        <w:tc>
          <w:tcPr/>
          <w:p>
            <w:pPr>
              <w:pStyle w:val="Compact"/>
            </w:pPr>
            <w:r>
              <w:t xml:space="preserve">Нет, предоставлять протоколом</w:t>
            </w:r>
          </w:p>
        </w:tc>
      </w:tr>
    </w:tbl>
    <w:p>
      <w:pPr>
        <w:pStyle w:val="BodyText"/>
      </w:pPr>
      <w:r>
        <w:t xml:space="preserve">Конец документа.</w:t>
      </w:r>
    </w:p>
    <w:bookmarkEnd w:id="58"/>
    <w:bookmarkEnd w:id="5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pacing w:val="-10"/>
      <w:kern w:val="28"/>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2026-06-12T17:10:57Z</dcterms:created>
  <dcterms:modified xsi:type="dcterms:W3CDTF">2026-06-12T17:10:57Z</dcterms:modified>
</cp:coreProperties>
</file>

<file path=docProps/custom.xml><?xml version="1.0" encoding="utf-8"?>
<Properties xmlns="http://schemas.openxmlformats.org/officeDocument/2006/custom-properties" xmlns:vt="http://schemas.openxmlformats.org/officeDocument/2006/docPropsVTypes"/>
</file>